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7E71" w14:textId="37EC1775" w:rsidR="004840F1" w:rsidRPr="004840F1" w:rsidRDefault="004840F1" w:rsidP="004840F1">
      <w:pPr>
        <w:keepNext/>
        <w:keepLines/>
        <w:numPr>
          <w:ilvl w:val="1"/>
          <w:numId w:val="0"/>
        </w:numPr>
        <w:spacing w:before="40" w:after="0"/>
        <w:ind w:left="576" w:hanging="576"/>
        <w:jc w:val="both"/>
        <w:outlineLvl w:val="1"/>
        <w:rPr>
          <w:rFonts w:asciiTheme="majorHAnsi" w:eastAsiaTheme="majorEastAsia" w:hAnsiTheme="majorHAnsi" w:cstheme="majorBidi"/>
          <w:color w:val="2F5496" w:themeColor="accent1" w:themeShade="BF"/>
          <w:sz w:val="26"/>
          <w:szCs w:val="26"/>
        </w:rPr>
      </w:pPr>
      <w:bookmarkStart w:id="0" w:name="_Hlk44401940"/>
      <w:proofErr w:type="spellStart"/>
      <w:r w:rsidRPr="004840F1">
        <w:rPr>
          <w:rFonts w:asciiTheme="majorHAnsi" w:eastAsiaTheme="majorEastAsia" w:hAnsiTheme="majorHAnsi" w:cstheme="majorBidi"/>
          <w:color w:val="2F5496" w:themeColor="accent1" w:themeShade="BF"/>
          <w:sz w:val="26"/>
          <w:szCs w:val="26"/>
        </w:rPr>
        <w:t>Mutoshi</w:t>
      </w:r>
      <w:proofErr w:type="spellEnd"/>
      <w:r w:rsidRPr="004840F1">
        <w:rPr>
          <w:rFonts w:asciiTheme="majorHAnsi" w:eastAsiaTheme="majorEastAsia" w:hAnsiTheme="majorHAnsi" w:cstheme="majorBidi"/>
          <w:color w:val="2F5496" w:themeColor="accent1" w:themeShade="BF"/>
          <w:sz w:val="26"/>
          <w:szCs w:val="26"/>
        </w:rPr>
        <w:t xml:space="preserve"> Cobalt Pilot Project, DRC: Transforming ASM for increased productivity, safer working conditions, and fairer female earnings </w:t>
      </w:r>
    </w:p>
    <w:p w14:paraId="2A558633" w14:textId="77777777" w:rsidR="004840F1" w:rsidRPr="004840F1" w:rsidRDefault="004840F1" w:rsidP="004840F1">
      <w:pPr>
        <w:contextualSpacing/>
        <w:jc w:val="both"/>
      </w:pPr>
    </w:p>
    <w:p w14:paraId="2E0A2181" w14:textId="77777777" w:rsidR="004840F1" w:rsidRPr="004840F1" w:rsidRDefault="004840F1" w:rsidP="004840F1">
      <w:pPr>
        <w:contextualSpacing/>
        <w:jc w:val="both"/>
      </w:pPr>
      <w:r w:rsidRPr="004840F1">
        <w:t xml:space="preserve">Author: Stephanie </w:t>
      </w:r>
      <w:proofErr w:type="spellStart"/>
      <w:r w:rsidRPr="004840F1">
        <w:t>Shumsky</w:t>
      </w:r>
      <w:proofErr w:type="spellEnd"/>
      <w:r w:rsidRPr="004840F1">
        <w:t>*</w:t>
      </w:r>
    </w:p>
    <w:p w14:paraId="55B41692" w14:textId="77777777" w:rsidR="004840F1" w:rsidRPr="004840F1" w:rsidRDefault="004840F1" w:rsidP="004840F1">
      <w:pPr>
        <w:contextualSpacing/>
        <w:jc w:val="both"/>
      </w:pPr>
      <w:r w:rsidRPr="004840F1">
        <w:t xml:space="preserve">Contributors: Sara Johansson de </w:t>
      </w:r>
      <w:proofErr w:type="gramStart"/>
      <w:r w:rsidRPr="004840F1">
        <w:t>Silva,*</w:t>
      </w:r>
      <w:proofErr w:type="gramEnd"/>
      <w:r w:rsidRPr="004840F1">
        <w:t xml:space="preserve">* </w:t>
      </w:r>
      <w:proofErr w:type="spellStart"/>
      <w:r w:rsidRPr="004840F1">
        <w:t>Tove</w:t>
      </w:r>
      <w:proofErr w:type="spellEnd"/>
      <w:r w:rsidRPr="004840F1">
        <w:t xml:space="preserve"> Strauss,** Nene </w:t>
      </w:r>
      <w:proofErr w:type="spellStart"/>
      <w:r w:rsidRPr="004840F1">
        <w:t>Morisho</w:t>
      </w:r>
      <w:proofErr w:type="spellEnd"/>
      <w:r w:rsidRPr="004840F1">
        <w:t>***</w:t>
      </w:r>
    </w:p>
    <w:p w14:paraId="78D2CE87" w14:textId="77777777" w:rsidR="004840F1" w:rsidRPr="004840F1" w:rsidRDefault="004840F1" w:rsidP="004840F1">
      <w:pPr>
        <w:contextualSpacing/>
        <w:jc w:val="both"/>
      </w:pPr>
      <w:r w:rsidRPr="004840F1">
        <w:t>Organizations: *Pact, Mines to Markets; **Independent Researchers; *** Pole Institute</w:t>
      </w:r>
    </w:p>
    <w:p w14:paraId="4A4A1C09" w14:textId="77777777" w:rsidR="004840F1" w:rsidRPr="004840F1" w:rsidRDefault="004840F1" w:rsidP="004840F1">
      <w:pPr>
        <w:keepNext/>
        <w:keepLines/>
        <w:numPr>
          <w:ilvl w:val="2"/>
          <w:numId w:val="0"/>
        </w:numPr>
        <w:spacing w:before="40" w:after="0"/>
        <w:ind w:left="720" w:hanging="720"/>
        <w:jc w:val="both"/>
        <w:outlineLvl w:val="2"/>
        <w:rPr>
          <w:rFonts w:asciiTheme="majorHAnsi" w:eastAsiaTheme="majorEastAsia" w:hAnsiTheme="majorHAnsi" w:cstheme="majorBidi"/>
          <w:color w:val="1F3763" w:themeColor="accent1" w:themeShade="7F"/>
          <w:sz w:val="24"/>
          <w:szCs w:val="24"/>
        </w:rPr>
      </w:pPr>
      <w:r w:rsidRPr="004840F1">
        <w:rPr>
          <w:rFonts w:asciiTheme="majorHAnsi" w:eastAsiaTheme="majorEastAsia" w:hAnsiTheme="majorHAnsi" w:cstheme="majorBidi"/>
          <w:color w:val="1F3763" w:themeColor="accent1" w:themeShade="7F"/>
          <w:sz w:val="24"/>
          <w:szCs w:val="24"/>
        </w:rPr>
        <w:t xml:space="preserve">Introduction </w:t>
      </w:r>
    </w:p>
    <w:p w14:paraId="18225D03" w14:textId="77777777" w:rsidR="004840F1" w:rsidRPr="004840F1" w:rsidRDefault="004840F1" w:rsidP="004840F1">
      <w:pPr>
        <w:spacing w:after="120"/>
        <w:jc w:val="both"/>
      </w:pPr>
      <w:bookmarkStart w:id="1" w:name="_Hlk43757397"/>
      <w:r w:rsidRPr="004840F1">
        <w:rPr>
          <w:noProof/>
          <w:lang w:eastAsia="en-GB"/>
        </w:rPr>
        <w:t>A significant proportion of</w:t>
      </w:r>
      <w:r w:rsidRPr="004840F1">
        <w:t xml:space="preserve"> global cobalt production originates from ASM in the Democratic Republic of the Congo (DRC). An estimated 20-30 percent (Clowes and Kavanagh, 2020) of the 100,000 metric tons of cobalt produced in DRC in 2019 (USGS, 2020) comes from ASM, providing an essential livelihood for some 200,000 people (Fritz </w:t>
      </w:r>
      <w:r w:rsidRPr="004840F1">
        <w:rPr>
          <w:i/>
          <w:iCs/>
        </w:rPr>
        <w:t>et al</w:t>
      </w:r>
      <w:r w:rsidRPr="004840F1">
        <w:t xml:space="preserve">., 2018). While ASM cobalt production can come with significant health, safety and human rights risks, it is vital to the world supply and required to meet the growing demand for battery metals as part of the clean energy revolution (Hund </w:t>
      </w:r>
      <w:r w:rsidRPr="004840F1">
        <w:rPr>
          <w:i/>
          <w:iCs/>
        </w:rPr>
        <w:t>et al</w:t>
      </w:r>
      <w:r w:rsidRPr="004840F1">
        <w:t xml:space="preserve">., 2020). Rather than ignoring the issues or shunning ASM, the global commodities trader Trafigura chose to work to improve the situation and integrate responsible ASM into their mineral supply chain. The </w:t>
      </w:r>
      <w:proofErr w:type="spellStart"/>
      <w:r w:rsidRPr="004840F1">
        <w:t>Mutoshi</w:t>
      </w:r>
      <w:proofErr w:type="spellEnd"/>
      <w:r w:rsidRPr="004840F1">
        <w:t xml:space="preserve"> Cobalt Pilot Project in Kolwezi, DRC aims to transforms working conditions and the lives of those impacted, while also controlling supply chain risks for Trafigura’s business. </w:t>
      </w:r>
    </w:p>
    <w:p w14:paraId="79570A76" w14:textId="4A184B66" w:rsidR="004840F1" w:rsidRPr="004840F1" w:rsidRDefault="004840F1" w:rsidP="004840F1">
      <w:pPr>
        <w:spacing w:after="120"/>
        <w:jc w:val="both"/>
      </w:pPr>
      <w:r w:rsidRPr="004840F1">
        <w:t xml:space="preserve">Built into the </w:t>
      </w:r>
      <w:r w:rsidR="00DA6979">
        <w:t>marketing</w:t>
      </w:r>
      <w:r w:rsidR="00DA6979" w:rsidRPr="004840F1">
        <w:t xml:space="preserve"> </w:t>
      </w:r>
      <w:r w:rsidRPr="004840F1">
        <w:t xml:space="preserve">agreement for </w:t>
      </w:r>
      <w:proofErr w:type="spellStart"/>
      <w:r w:rsidRPr="004840F1">
        <w:t>Mutoshi’s</w:t>
      </w:r>
      <w:proofErr w:type="spellEnd"/>
      <w:r w:rsidRPr="004840F1">
        <w:t xml:space="preserve"> cobalt hydroxide from the from the start (</w:t>
      </w:r>
      <w:proofErr w:type="spellStart"/>
      <w:r w:rsidRPr="004840F1">
        <w:t>Shalina</w:t>
      </w:r>
      <w:proofErr w:type="spellEnd"/>
      <w:r w:rsidRPr="004840F1">
        <w:t xml:space="preserve"> Resources, 2018), and with strong collaboration from the DRC government agencies including the Service </w:t>
      </w:r>
      <w:proofErr w:type="spellStart"/>
      <w:r w:rsidRPr="004840F1">
        <w:t>d’Assistance</w:t>
      </w:r>
      <w:proofErr w:type="spellEnd"/>
      <w:r w:rsidRPr="004840F1">
        <w:t xml:space="preserve"> et </w:t>
      </w:r>
      <w:proofErr w:type="spellStart"/>
      <w:r w:rsidRPr="004840F1">
        <w:t>d’Encadrement</w:t>
      </w:r>
      <w:proofErr w:type="spellEnd"/>
      <w:r w:rsidRPr="004840F1">
        <w:t xml:space="preserve"> des Mines </w:t>
      </w:r>
      <w:proofErr w:type="spellStart"/>
      <w:r w:rsidRPr="004840F1">
        <w:t>Artisanales</w:t>
      </w:r>
      <w:proofErr w:type="spellEnd"/>
      <w:r w:rsidRPr="004840F1">
        <w:t xml:space="preserve"> et de Petit Echelle (SAEMAPE),</w:t>
      </w:r>
      <w:bookmarkEnd w:id="1"/>
      <w:r w:rsidRPr="004840F1">
        <w:rPr>
          <w:vertAlign w:val="superscript"/>
        </w:rPr>
        <w:endnoteReference w:id="1"/>
      </w:r>
      <w:r w:rsidRPr="004840F1">
        <w:t xml:space="preserve"> in </w:t>
      </w:r>
      <w:r w:rsidR="00DA6979">
        <w:t>February</w:t>
      </w:r>
      <w:r w:rsidR="00DA6979" w:rsidRPr="004840F1">
        <w:t xml:space="preserve"> </w:t>
      </w:r>
      <w:r w:rsidRPr="004840F1">
        <w:t>2018 the mine operating company</w:t>
      </w:r>
      <w:r w:rsidR="00A965D0">
        <w:t>,</w:t>
      </w:r>
      <w:r w:rsidRPr="004840F1">
        <w:t xml:space="preserve"> </w:t>
      </w:r>
      <w:proofErr w:type="spellStart"/>
      <w:r w:rsidRPr="004840F1">
        <w:t>Chemaf</w:t>
      </w:r>
      <w:proofErr w:type="spellEnd"/>
      <w:r w:rsidR="00A965D0">
        <w:t>,</w:t>
      </w:r>
      <w:r w:rsidRPr="004840F1">
        <w:t xml:space="preserve"> partnered with Trafigura to</w:t>
      </w:r>
      <w:r w:rsidR="004E3308">
        <w:t xml:space="preserve"> officially</w:t>
      </w:r>
      <w:r w:rsidRPr="004840F1">
        <w:t xml:space="preserve"> provide </w:t>
      </w:r>
      <w:r w:rsidR="00A965D0">
        <w:t xml:space="preserve">site </w:t>
      </w:r>
      <w:r w:rsidRPr="004840F1">
        <w:t>access and technical support to a local ASM cooperative COMIAKOL</w:t>
      </w:r>
      <w:r w:rsidR="004E3308">
        <w:t>, that had been operating informally on the site for more than 20 years</w:t>
      </w:r>
      <w:r w:rsidRPr="004840F1">
        <w:t>. A comprehensive package of practical assistance was designed to enable COMIAKOL to safely conduct semi-mechanized mining and increase their productive capacity. It include</w:t>
      </w:r>
      <w:r w:rsidR="004E3308">
        <w:t>s</w:t>
      </w:r>
      <w:r w:rsidRPr="004840F1">
        <w:t xml:space="preserve"> geological support through locating minerals, analysis, and mine planning; mechanized assistance such as preparation and cleaning of the site to allow safe access; as well as training, provision of safety equipment and amenities. The package was supported by the global NGO Pact to manage the overall delivery of the pilot project, as well as </w:t>
      </w:r>
      <w:proofErr w:type="spellStart"/>
      <w:r w:rsidRPr="004840F1">
        <w:t>Kumi</w:t>
      </w:r>
      <w:proofErr w:type="spellEnd"/>
      <w:r w:rsidRPr="004840F1">
        <w:t xml:space="preserve"> Consulting as independent </w:t>
      </w:r>
      <w:r w:rsidR="00DA6979">
        <w:t>assessors against Trafigura’s responsible sourcing policies and expectations</w:t>
      </w:r>
      <w:r w:rsidRPr="004840F1">
        <w:t xml:space="preserve">.  </w:t>
      </w:r>
    </w:p>
    <w:p w14:paraId="1B3950EC" w14:textId="664ADBBC" w:rsidR="004840F1" w:rsidRPr="004840F1" w:rsidRDefault="004840F1" w:rsidP="004840F1">
      <w:pPr>
        <w:spacing w:after="120"/>
        <w:jc w:val="both"/>
      </w:pPr>
      <w:r w:rsidRPr="004840F1">
        <w:t xml:space="preserve">The original objective was to ensure that the minerals sold by COMIAKOL to </w:t>
      </w:r>
      <w:proofErr w:type="spellStart"/>
      <w:r w:rsidRPr="004840F1">
        <w:t>Chemaf</w:t>
      </w:r>
      <w:proofErr w:type="spellEnd"/>
      <w:r w:rsidRPr="004840F1">
        <w:t xml:space="preserve"> were sourced in accordance with both the OECD Due Diligence Guidance and Trafigura's Responsible Sourcing Artisanal and Small-Scale Mining Expectations</w:t>
      </w:r>
      <w:r w:rsidR="004E3308">
        <w:t>.</w:t>
      </w:r>
      <w:r w:rsidRPr="004840F1">
        <w:t xml:space="preserve"> However, as the pilot project progressed</w:t>
      </w:r>
      <w:r w:rsidR="004E3308">
        <w:t>,</w:t>
      </w:r>
      <w:r w:rsidRPr="004840F1">
        <w:t xml:space="preserve"> notable additional positive impacts on the local social and economic conditions as well as health and safety emerged. Directly related to SDG targets 8.5 and 8.8, respectively. These improvements were particularly felt by female miners participating in the project. The clearest achievement has been for COMIAKOL to record </w:t>
      </w:r>
      <w:r w:rsidRPr="004840F1">
        <w:rPr>
          <w:b/>
          <w:bCs/>
        </w:rPr>
        <w:t xml:space="preserve">over six million work hours without a lost time incident and no fatalities between the start of the pilot in </w:t>
      </w:r>
      <w:r w:rsidR="004E3308">
        <w:rPr>
          <w:b/>
          <w:bCs/>
        </w:rPr>
        <w:t>February</w:t>
      </w:r>
      <w:r w:rsidR="004E3308" w:rsidRPr="004840F1">
        <w:rPr>
          <w:b/>
          <w:bCs/>
        </w:rPr>
        <w:t xml:space="preserve"> </w:t>
      </w:r>
      <w:r w:rsidRPr="004840F1">
        <w:rPr>
          <w:b/>
          <w:bCs/>
        </w:rPr>
        <w:t>2018 and</w:t>
      </w:r>
      <w:r w:rsidR="004E3308">
        <w:rPr>
          <w:b/>
          <w:bCs/>
        </w:rPr>
        <w:t xml:space="preserve"> the temporary suspension of activities on site due to Covid-19 in March</w:t>
      </w:r>
      <w:r w:rsidRPr="004840F1">
        <w:rPr>
          <w:b/>
          <w:bCs/>
        </w:rPr>
        <w:t xml:space="preserve"> 2020</w:t>
      </w:r>
      <w:r w:rsidRPr="004840F1">
        <w:t xml:space="preserve">. </w:t>
      </w:r>
    </w:p>
    <w:p w14:paraId="00E2318C" w14:textId="77777777" w:rsidR="004840F1" w:rsidRPr="004840F1" w:rsidRDefault="004840F1" w:rsidP="004840F1">
      <w:pPr>
        <w:keepNext/>
        <w:keepLines/>
        <w:numPr>
          <w:ilvl w:val="1"/>
          <w:numId w:val="0"/>
        </w:numPr>
        <w:spacing w:before="40" w:after="0"/>
        <w:ind w:left="576" w:hanging="576"/>
        <w:jc w:val="both"/>
        <w:outlineLvl w:val="1"/>
        <w:rPr>
          <w:rFonts w:asciiTheme="majorHAnsi" w:eastAsiaTheme="majorEastAsia" w:hAnsiTheme="majorHAnsi" w:cstheme="majorBidi"/>
          <w:color w:val="2F5496" w:themeColor="accent1" w:themeShade="BF"/>
          <w:sz w:val="26"/>
          <w:szCs w:val="26"/>
        </w:rPr>
      </w:pPr>
      <w:r w:rsidRPr="004840F1">
        <w:rPr>
          <w:rFonts w:asciiTheme="majorHAnsi" w:eastAsiaTheme="majorEastAsia" w:hAnsiTheme="majorHAnsi" w:cstheme="majorBidi"/>
          <w:color w:val="2F5496" w:themeColor="accent1" w:themeShade="BF"/>
          <w:sz w:val="26"/>
          <w:szCs w:val="26"/>
        </w:rPr>
        <w:t>An Independent Analysis of the Pilot Model Found a Strong Positive Impact on Participating Miners</w:t>
      </w:r>
    </w:p>
    <w:p w14:paraId="00938A1A" w14:textId="77777777" w:rsidR="004840F1" w:rsidRPr="004840F1" w:rsidRDefault="004840F1" w:rsidP="004840F1">
      <w:pPr>
        <w:spacing w:after="120"/>
        <w:jc w:val="both"/>
      </w:pPr>
      <w:r w:rsidRPr="004840F1">
        <w:t xml:space="preserve">To understand the impacts of the pilot project better, in mid-2019 Trafigura commissioned an independent analysis. Interviews and focus group discussions were conducted with miners and key informants among participating stakeholders (Pilot Project Group). A quantitative survey was also </w:t>
      </w:r>
      <w:r w:rsidRPr="004840F1">
        <w:lastRenderedPageBreak/>
        <w:t xml:space="preserve">administered to 319 artisanal miners from this group, and a Comparator Group comprising 110 artisanal miners from </w:t>
      </w:r>
      <w:proofErr w:type="spellStart"/>
      <w:r w:rsidRPr="004840F1">
        <w:t>Kapata</w:t>
      </w:r>
      <w:proofErr w:type="spellEnd"/>
      <w:r w:rsidRPr="004840F1">
        <w:t xml:space="preserve"> </w:t>
      </w:r>
      <w:r w:rsidRPr="004840F1">
        <w:rPr>
          <w:i/>
          <w:iCs/>
        </w:rPr>
        <w:t>–</w:t>
      </w:r>
      <w:r w:rsidRPr="004840F1">
        <w:t xml:space="preserve"> an informal ASM site several hour’s drive from </w:t>
      </w:r>
      <w:proofErr w:type="spellStart"/>
      <w:r w:rsidRPr="004840F1">
        <w:t>Mutoshi</w:t>
      </w:r>
      <w:proofErr w:type="spellEnd"/>
      <w:r w:rsidRPr="004840F1">
        <w:t xml:space="preserve"> (Table 2). This case study provides a summary of these findings from the full research report (</w:t>
      </w:r>
      <w:bookmarkStart w:id="2" w:name="_Hlk44408618"/>
      <w:r w:rsidRPr="004840F1">
        <w:t xml:space="preserve">Johansson de Silva, Strauss, </w:t>
      </w:r>
      <w:proofErr w:type="spellStart"/>
      <w:r w:rsidRPr="004840F1">
        <w:t>Morisho</w:t>
      </w:r>
      <w:proofErr w:type="spellEnd"/>
      <w:r w:rsidRPr="004840F1">
        <w:t>, 2019</w:t>
      </w:r>
      <w:bookmarkEnd w:id="2"/>
      <w:r w:rsidRPr="004840F1">
        <w:t xml:space="preserve">) to highlight the positive impacts on SDG8 in two key areas: decent work through increased productivity, and health and safety. </w:t>
      </w:r>
    </w:p>
    <w:p w14:paraId="3725AA70" w14:textId="77777777" w:rsidR="004840F1" w:rsidRPr="004840F1" w:rsidRDefault="004840F1" w:rsidP="004840F1">
      <w:pPr>
        <w:keepNext/>
        <w:spacing w:after="200" w:line="240" w:lineRule="auto"/>
        <w:jc w:val="both"/>
        <w:rPr>
          <w:b/>
          <w:bCs/>
        </w:rPr>
      </w:pPr>
      <w:r w:rsidRPr="004840F1">
        <w:rPr>
          <w:b/>
          <w:bCs/>
        </w:rPr>
        <w:t xml:space="preserve">Table </w:t>
      </w:r>
      <w:r w:rsidRPr="004840F1">
        <w:rPr>
          <w:b/>
          <w:bCs/>
        </w:rPr>
        <w:fldChar w:fldCharType="begin"/>
      </w:r>
      <w:r w:rsidRPr="004840F1">
        <w:rPr>
          <w:b/>
          <w:bCs/>
        </w:rPr>
        <w:instrText xml:space="preserve"> SEQ Table \* ARABIC </w:instrText>
      </w:r>
      <w:r w:rsidRPr="004840F1">
        <w:rPr>
          <w:b/>
          <w:bCs/>
        </w:rPr>
        <w:fldChar w:fldCharType="separate"/>
      </w:r>
      <w:r w:rsidRPr="004840F1">
        <w:rPr>
          <w:b/>
          <w:bCs/>
          <w:noProof/>
        </w:rPr>
        <w:t>2</w:t>
      </w:r>
      <w:r w:rsidRPr="004840F1">
        <w:rPr>
          <w:b/>
          <w:bCs/>
        </w:rPr>
        <w:fldChar w:fldCharType="end"/>
      </w:r>
      <w:r w:rsidRPr="004840F1">
        <w:rPr>
          <w:b/>
          <w:bCs/>
        </w:rPr>
        <w:t>. Biographical Data of Artisanal Miners in Pilot Project Group versus Comparator Group</w:t>
      </w:r>
    </w:p>
    <w:tbl>
      <w:tblPr>
        <w:tblStyle w:val="TableGrid"/>
        <w:tblW w:w="9542" w:type="dxa"/>
        <w:tblLayout w:type="fixed"/>
        <w:tblLook w:val="04A0" w:firstRow="1" w:lastRow="0" w:firstColumn="1" w:lastColumn="0" w:noHBand="0" w:noVBand="1"/>
      </w:tblPr>
      <w:tblGrid>
        <w:gridCol w:w="3389"/>
        <w:gridCol w:w="1024"/>
        <w:gridCol w:w="1025"/>
        <w:gridCol w:w="1026"/>
        <w:gridCol w:w="1025"/>
        <w:gridCol w:w="1024"/>
        <w:gridCol w:w="1029"/>
      </w:tblGrid>
      <w:tr w:rsidR="004840F1" w:rsidRPr="004840F1" w14:paraId="489217D4" w14:textId="77777777" w:rsidTr="00F74099">
        <w:trPr>
          <w:trHeight w:val="113"/>
        </w:trPr>
        <w:tc>
          <w:tcPr>
            <w:tcW w:w="3389" w:type="dxa"/>
          </w:tcPr>
          <w:p w14:paraId="3B08695C" w14:textId="77777777" w:rsidR="004840F1" w:rsidRPr="004840F1" w:rsidRDefault="004840F1" w:rsidP="004840F1">
            <w:pPr>
              <w:rPr>
                <w:rFonts w:cstheme="minorHAnsi"/>
                <w:sz w:val="20"/>
                <w:szCs w:val="20"/>
              </w:rPr>
            </w:pPr>
          </w:p>
        </w:tc>
        <w:tc>
          <w:tcPr>
            <w:tcW w:w="3075" w:type="dxa"/>
            <w:gridSpan w:val="3"/>
          </w:tcPr>
          <w:p w14:paraId="4CBEB168" w14:textId="77777777" w:rsidR="004840F1" w:rsidRPr="004840F1" w:rsidRDefault="004840F1" w:rsidP="004840F1">
            <w:pPr>
              <w:jc w:val="center"/>
              <w:rPr>
                <w:rFonts w:cstheme="minorHAnsi"/>
                <w:sz w:val="20"/>
                <w:szCs w:val="20"/>
              </w:rPr>
            </w:pPr>
            <w:r w:rsidRPr="004840F1">
              <w:rPr>
                <w:rFonts w:cstheme="minorHAnsi"/>
                <w:b/>
                <w:bCs/>
                <w:sz w:val="20"/>
                <w:szCs w:val="20"/>
              </w:rPr>
              <w:t>Pilot Project Group</w:t>
            </w:r>
          </w:p>
        </w:tc>
        <w:tc>
          <w:tcPr>
            <w:tcW w:w="3078" w:type="dxa"/>
            <w:gridSpan w:val="3"/>
          </w:tcPr>
          <w:p w14:paraId="4AA8CB75" w14:textId="77777777" w:rsidR="004840F1" w:rsidRPr="004840F1" w:rsidRDefault="004840F1" w:rsidP="004840F1">
            <w:pPr>
              <w:jc w:val="center"/>
              <w:rPr>
                <w:rFonts w:cstheme="minorHAnsi"/>
                <w:sz w:val="20"/>
                <w:szCs w:val="20"/>
              </w:rPr>
            </w:pPr>
            <w:r w:rsidRPr="004840F1">
              <w:rPr>
                <w:rFonts w:cstheme="minorHAnsi"/>
                <w:b/>
                <w:bCs/>
                <w:sz w:val="20"/>
                <w:szCs w:val="20"/>
              </w:rPr>
              <w:t>Comparator Group</w:t>
            </w:r>
          </w:p>
        </w:tc>
      </w:tr>
      <w:tr w:rsidR="004840F1" w:rsidRPr="004840F1" w14:paraId="75DF4634" w14:textId="77777777" w:rsidTr="00F74099">
        <w:trPr>
          <w:trHeight w:val="113"/>
        </w:trPr>
        <w:tc>
          <w:tcPr>
            <w:tcW w:w="3389" w:type="dxa"/>
            <w:shd w:val="clear" w:color="auto" w:fill="BFBFBF" w:themeFill="background1" w:themeFillShade="BF"/>
          </w:tcPr>
          <w:p w14:paraId="27A8EF11" w14:textId="77777777" w:rsidR="004840F1" w:rsidRPr="004840F1" w:rsidRDefault="004840F1" w:rsidP="004840F1">
            <w:pPr>
              <w:rPr>
                <w:rFonts w:cstheme="minorHAnsi"/>
                <w:b/>
                <w:bCs/>
                <w:sz w:val="20"/>
                <w:szCs w:val="20"/>
              </w:rPr>
            </w:pPr>
            <w:r w:rsidRPr="004840F1">
              <w:rPr>
                <w:rFonts w:cstheme="minorHAnsi"/>
                <w:b/>
                <w:bCs/>
                <w:sz w:val="20"/>
                <w:szCs w:val="20"/>
              </w:rPr>
              <w:t>Artisanal Miners</w:t>
            </w:r>
          </w:p>
        </w:tc>
        <w:tc>
          <w:tcPr>
            <w:tcW w:w="1024" w:type="dxa"/>
            <w:shd w:val="clear" w:color="auto" w:fill="BFBFBF" w:themeFill="background1" w:themeFillShade="BF"/>
          </w:tcPr>
          <w:p w14:paraId="16E82ADB" w14:textId="77777777" w:rsidR="004840F1" w:rsidRPr="004840F1" w:rsidRDefault="004840F1" w:rsidP="004840F1">
            <w:pPr>
              <w:jc w:val="center"/>
              <w:rPr>
                <w:rFonts w:cstheme="minorHAnsi"/>
                <w:b/>
                <w:bCs/>
                <w:sz w:val="20"/>
                <w:szCs w:val="20"/>
              </w:rPr>
            </w:pPr>
            <w:r w:rsidRPr="004840F1">
              <w:rPr>
                <w:rFonts w:cstheme="minorHAnsi"/>
                <w:b/>
                <w:bCs/>
                <w:sz w:val="20"/>
                <w:szCs w:val="20"/>
              </w:rPr>
              <w:t>Men</w:t>
            </w:r>
          </w:p>
        </w:tc>
        <w:tc>
          <w:tcPr>
            <w:tcW w:w="1025" w:type="dxa"/>
            <w:shd w:val="clear" w:color="auto" w:fill="BFBFBF" w:themeFill="background1" w:themeFillShade="BF"/>
          </w:tcPr>
          <w:p w14:paraId="63C0D891" w14:textId="77777777" w:rsidR="004840F1" w:rsidRPr="004840F1" w:rsidRDefault="004840F1" w:rsidP="004840F1">
            <w:pPr>
              <w:jc w:val="center"/>
              <w:rPr>
                <w:rFonts w:cstheme="minorHAnsi"/>
                <w:b/>
                <w:bCs/>
                <w:sz w:val="20"/>
                <w:szCs w:val="20"/>
              </w:rPr>
            </w:pPr>
            <w:r w:rsidRPr="004840F1">
              <w:rPr>
                <w:rFonts w:cstheme="minorHAnsi"/>
                <w:b/>
                <w:bCs/>
                <w:sz w:val="20"/>
                <w:szCs w:val="20"/>
              </w:rPr>
              <w:t>Women</w:t>
            </w:r>
          </w:p>
        </w:tc>
        <w:tc>
          <w:tcPr>
            <w:tcW w:w="1026" w:type="dxa"/>
            <w:shd w:val="clear" w:color="auto" w:fill="BFBFBF" w:themeFill="background1" w:themeFillShade="BF"/>
          </w:tcPr>
          <w:p w14:paraId="784117AD" w14:textId="77777777" w:rsidR="004840F1" w:rsidRPr="004840F1" w:rsidRDefault="004840F1" w:rsidP="004840F1">
            <w:pPr>
              <w:jc w:val="center"/>
              <w:rPr>
                <w:rFonts w:cstheme="minorHAnsi"/>
                <w:b/>
                <w:bCs/>
                <w:sz w:val="20"/>
                <w:szCs w:val="20"/>
              </w:rPr>
            </w:pPr>
            <w:r w:rsidRPr="004840F1">
              <w:rPr>
                <w:rFonts w:cstheme="minorHAnsi"/>
                <w:b/>
                <w:bCs/>
                <w:sz w:val="20"/>
                <w:szCs w:val="20"/>
              </w:rPr>
              <w:t>Total</w:t>
            </w:r>
          </w:p>
        </w:tc>
        <w:tc>
          <w:tcPr>
            <w:tcW w:w="1025" w:type="dxa"/>
            <w:shd w:val="clear" w:color="auto" w:fill="BFBFBF" w:themeFill="background1" w:themeFillShade="BF"/>
          </w:tcPr>
          <w:p w14:paraId="7436425A" w14:textId="77777777" w:rsidR="004840F1" w:rsidRPr="004840F1" w:rsidRDefault="004840F1" w:rsidP="004840F1">
            <w:pPr>
              <w:jc w:val="center"/>
              <w:rPr>
                <w:rFonts w:cstheme="minorHAnsi"/>
                <w:b/>
                <w:bCs/>
                <w:sz w:val="20"/>
                <w:szCs w:val="20"/>
              </w:rPr>
            </w:pPr>
            <w:r w:rsidRPr="004840F1">
              <w:rPr>
                <w:rFonts w:cstheme="minorHAnsi"/>
                <w:b/>
                <w:bCs/>
                <w:sz w:val="20"/>
                <w:szCs w:val="20"/>
              </w:rPr>
              <w:t>Men</w:t>
            </w:r>
          </w:p>
        </w:tc>
        <w:tc>
          <w:tcPr>
            <w:tcW w:w="1024" w:type="dxa"/>
            <w:shd w:val="clear" w:color="auto" w:fill="BFBFBF" w:themeFill="background1" w:themeFillShade="BF"/>
          </w:tcPr>
          <w:p w14:paraId="609C764C" w14:textId="77777777" w:rsidR="004840F1" w:rsidRPr="004840F1" w:rsidRDefault="004840F1" w:rsidP="004840F1">
            <w:pPr>
              <w:jc w:val="center"/>
              <w:rPr>
                <w:rFonts w:cstheme="minorHAnsi"/>
                <w:b/>
                <w:bCs/>
                <w:sz w:val="20"/>
                <w:szCs w:val="20"/>
              </w:rPr>
            </w:pPr>
            <w:r w:rsidRPr="004840F1">
              <w:rPr>
                <w:rFonts w:cstheme="minorHAnsi"/>
                <w:b/>
                <w:bCs/>
                <w:sz w:val="20"/>
                <w:szCs w:val="20"/>
              </w:rPr>
              <w:t>Women</w:t>
            </w:r>
          </w:p>
        </w:tc>
        <w:tc>
          <w:tcPr>
            <w:tcW w:w="1029" w:type="dxa"/>
            <w:shd w:val="clear" w:color="auto" w:fill="BFBFBF" w:themeFill="background1" w:themeFillShade="BF"/>
          </w:tcPr>
          <w:p w14:paraId="6D732855" w14:textId="77777777" w:rsidR="004840F1" w:rsidRPr="004840F1" w:rsidRDefault="004840F1" w:rsidP="004840F1">
            <w:pPr>
              <w:jc w:val="center"/>
              <w:rPr>
                <w:rFonts w:cstheme="minorHAnsi"/>
                <w:b/>
                <w:bCs/>
                <w:sz w:val="20"/>
                <w:szCs w:val="20"/>
              </w:rPr>
            </w:pPr>
            <w:r w:rsidRPr="004840F1">
              <w:rPr>
                <w:rFonts w:cstheme="minorHAnsi"/>
                <w:b/>
                <w:bCs/>
                <w:sz w:val="20"/>
                <w:szCs w:val="20"/>
              </w:rPr>
              <w:t>Total</w:t>
            </w:r>
          </w:p>
        </w:tc>
      </w:tr>
      <w:tr w:rsidR="004840F1" w:rsidRPr="004840F1" w14:paraId="7FB17F99" w14:textId="77777777" w:rsidTr="00F74099">
        <w:trPr>
          <w:trHeight w:val="113"/>
        </w:trPr>
        <w:tc>
          <w:tcPr>
            <w:tcW w:w="3389" w:type="dxa"/>
          </w:tcPr>
          <w:p w14:paraId="11952684" w14:textId="77777777" w:rsidR="004840F1" w:rsidRPr="004840F1" w:rsidRDefault="004840F1" w:rsidP="004840F1">
            <w:pPr>
              <w:rPr>
                <w:rFonts w:cstheme="minorHAnsi"/>
                <w:sz w:val="20"/>
                <w:szCs w:val="20"/>
              </w:rPr>
            </w:pPr>
            <w:r w:rsidRPr="004840F1">
              <w:rPr>
                <w:rFonts w:cstheme="minorHAnsi"/>
                <w:sz w:val="20"/>
                <w:szCs w:val="20"/>
              </w:rPr>
              <w:t>Number</w:t>
            </w:r>
          </w:p>
        </w:tc>
        <w:tc>
          <w:tcPr>
            <w:tcW w:w="1024" w:type="dxa"/>
          </w:tcPr>
          <w:p w14:paraId="21F33F8A" w14:textId="77777777" w:rsidR="004840F1" w:rsidRPr="004840F1" w:rsidRDefault="004840F1" w:rsidP="004840F1">
            <w:pPr>
              <w:jc w:val="center"/>
              <w:rPr>
                <w:rFonts w:cstheme="minorHAnsi"/>
                <w:sz w:val="20"/>
                <w:szCs w:val="20"/>
              </w:rPr>
            </w:pPr>
            <w:r w:rsidRPr="004840F1">
              <w:rPr>
                <w:rFonts w:cstheme="minorHAnsi"/>
                <w:sz w:val="20"/>
                <w:szCs w:val="20"/>
              </w:rPr>
              <w:t>196</w:t>
            </w:r>
          </w:p>
        </w:tc>
        <w:tc>
          <w:tcPr>
            <w:tcW w:w="1025" w:type="dxa"/>
          </w:tcPr>
          <w:p w14:paraId="0BD963B5" w14:textId="77777777" w:rsidR="004840F1" w:rsidRPr="004840F1" w:rsidRDefault="004840F1" w:rsidP="004840F1">
            <w:pPr>
              <w:jc w:val="center"/>
              <w:rPr>
                <w:rFonts w:cstheme="minorHAnsi"/>
                <w:sz w:val="20"/>
                <w:szCs w:val="20"/>
              </w:rPr>
            </w:pPr>
            <w:r w:rsidRPr="004840F1">
              <w:rPr>
                <w:rFonts w:cstheme="minorHAnsi"/>
                <w:sz w:val="20"/>
                <w:szCs w:val="20"/>
              </w:rPr>
              <w:t>123</w:t>
            </w:r>
          </w:p>
        </w:tc>
        <w:tc>
          <w:tcPr>
            <w:tcW w:w="1026" w:type="dxa"/>
          </w:tcPr>
          <w:p w14:paraId="2DD2D0AD" w14:textId="77777777" w:rsidR="004840F1" w:rsidRPr="004840F1" w:rsidRDefault="004840F1" w:rsidP="004840F1">
            <w:pPr>
              <w:jc w:val="center"/>
              <w:rPr>
                <w:rFonts w:cstheme="minorHAnsi"/>
                <w:sz w:val="20"/>
                <w:szCs w:val="20"/>
              </w:rPr>
            </w:pPr>
            <w:r w:rsidRPr="004840F1">
              <w:rPr>
                <w:rFonts w:cstheme="minorHAnsi"/>
                <w:sz w:val="20"/>
                <w:szCs w:val="20"/>
              </w:rPr>
              <w:t>319</w:t>
            </w:r>
          </w:p>
        </w:tc>
        <w:tc>
          <w:tcPr>
            <w:tcW w:w="1025" w:type="dxa"/>
          </w:tcPr>
          <w:p w14:paraId="0B9C3FFD" w14:textId="77777777" w:rsidR="004840F1" w:rsidRPr="004840F1" w:rsidRDefault="004840F1" w:rsidP="004840F1">
            <w:pPr>
              <w:jc w:val="center"/>
              <w:rPr>
                <w:rFonts w:cstheme="minorHAnsi"/>
                <w:sz w:val="20"/>
                <w:szCs w:val="20"/>
              </w:rPr>
            </w:pPr>
            <w:r w:rsidRPr="004840F1">
              <w:rPr>
                <w:rFonts w:cstheme="minorHAnsi"/>
                <w:sz w:val="20"/>
                <w:szCs w:val="20"/>
              </w:rPr>
              <w:t>60</w:t>
            </w:r>
          </w:p>
        </w:tc>
        <w:tc>
          <w:tcPr>
            <w:tcW w:w="1024" w:type="dxa"/>
          </w:tcPr>
          <w:p w14:paraId="044F76CD" w14:textId="77777777" w:rsidR="004840F1" w:rsidRPr="004840F1" w:rsidRDefault="004840F1" w:rsidP="004840F1">
            <w:pPr>
              <w:jc w:val="center"/>
              <w:rPr>
                <w:rFonts w:cstheme="minorHAnsi"/>
                <w:sz w:val="20"/>
                <w:szCs w:val="20"/>
              </w:rPr>
            </w:pPr>
            <w:r w:rsidRPr="004840F1">
              <w:rPr>
                <w:rFonts w:cstheme="minorHAnsi"/>
                <w:sz w:val="20"/>
                <w:szCs w:val="20"/>
              </w:rPr>
              <w:t>50</w:t>
            </w:r>
          </w:p>
        </w:tc>
        <w:tc>
          <w:tcPr>
            <w:tcW w:w="1029" w:type="dxa"/>
          </w:tcPr>
          <w:p w14:paraId="778D3830" w14:textId="77777777" w:rsidR="004840F1" w:rsidRPr="004840F1" w:rsidRDefault="004840F1" w:rsidP="004840F1">
            <w:pPr>
              <w:jc w:val="center"/>
              <w:rPr>
                <w:rFonts w:cstheme="minorHAnsi"/>
                <w:sz w:val="20"/>
                <w:szCs w:val="20"/>
              </w:rPr>
            </w:pPr>
            <w:r w:rsidRPr="004840F1">
              <w:rPr>
                <w:rFonts w:cstheme="minorHAnsi"/>
                <w:sz w:val="20"/>
                <w:szCs w:val="20"/>
              </w:rPr>
              <w:t>110</w:t>
            </w:r>
          </w:p>
        </w:tc>
      </w:tr>
      <w:tr w:rsidR="004840F1" w:rsidRPr="004840F1" w14:paraId="445CD8BC" w14:textId="77777777" w:rsidTr="00F74099">
        <w:trPr>
          <w:trHeight w:val="113"/>
        </w:trPr>
        <w:tc>
          <w:tcPr>
            <w:tcW w:w="3389" w:type="dxa"/>
          </w:tcPr>
          <w:p w14:paraId="5778FBA7" w14:textId="77777777" w:rsidR="004840F1" w:rsidRPr="004840F1" w:rsidRDefault="004840F1" w:rsidP="004840F1">
            <w:pPr>
              <w:rPr>
                <w:rFonts w:cstheme="minorHAnsi"/>
                <w:sz w:val="20"/>
                <w:szCs w:val="20"/>
              </w:rPr>
            </w:pPr>
            <w:r w:rsidRPr="004840F1">
              <w:rPr>
                <w:rFonts w:cstheme="minorHAnsi"/>
                <w:sz w:val="20"/>
                <w:szCs w:val="20"/>
              </w:rPr>
              <w:t>Gender share of total (percent)</w:t>
            </w:r>
          </w:p>
        </w:tc>
        <w:tc>
          <w:tcPr>
            <w:tcW w:w="1024" w:type="dxa"/>
          </w:tcPr>
          <w:p w14:paraId="575B253C" w14:textId="77777777" w:rsidR="004840F1" w:rsidRPr="004840F1" w:rsidRDefault="004840F1" w:rsidP="004840F1">
            <w:pPr>
              <w:jc w:val="center"/>
              <w:rPr>
                <w:rFonts w:cstheme="minorHAnsi"/>
                <w:sz w:val="20"/>
                <w:szCs w:val="20"/>
              </w:rPr>
            </w:pPr>
            <w:r w:rsidRPr="004840F1">
              <w:rPr>
                <w:rFonts w:cstheme="minorHAnsi"/>
                <w:sz w:val="20"/>
                <w:szCs w:val="20"/>
              </w:rPr>
              <w:t>61%</w:t>
            </w:r>
          </w:p>
        </w:tc>
        <w:tc>
          <w:tcPr>
            <w:tcW w:w="1025" w:type="dxa"/>
          </w:tcPr>
          <w:p w14:paraId="5EB05A64" w14:textId="77777777" w:rsidR="004840F1" w:rsidRPr="004840F1" w:rsidRDefault="004840F1" w:rsidP="004840F1">
            <w:pPr>
              <w:jc w:val="center"/>
              <w:rPr>
                <w:rFonts w:cstheme="minorHAnsi"/>
                <w:sz w:val="20"/>
                <w:szCs w:val="20"/>
              </w:rPr>
            </w:pPr>
            <w:r w:rsidRPr="004840F1">
              <w:rPr>
                <w:rFonts w:cstheme="minorHAnsi"/>
                <w:sz w:val="20"/>
                <w:szCs w:val="20"/>
              </w:rPr>
              <w:t>39%</w:t>
            </w:r>
          </w:p>
        </w:tc>
        <w:tc>
          <w:tcPr>
            <w:tcW w:w="1026" w:type="dxa"/>
          </w:tcPr>
          <w:p w14:paraId="2E88A83D" w14:textId="77777777" w:rsidR="004840F1" w:rsidRPr="004840F1" w:rsidRDefault="004840F1" w:rsidP="004840F1">
            <w:pPr>
              <w:jc w:val="center"/>
              <w:rPr>
                <w:rFonts w:cstheme="minorHAnsi"/>
                <w:sz w:val="20"/>
                <w:szCs w:val="20"/>
              </w:rPr>
            </w:pPr>
            <w:r w:rsidRPr="004840F1">
              <w:rPr>
                <w:rFonts w:cstheme="minorHAnsi"/>
                <w:sz w:val="20"/>
                <w:szCs w:val="20"/>
              </w:rPr>
              <w:t>-</w:t>
            </w:r>
          </w:p>
        </w:tc>
        <w:tc>
          <w:tcPr>
            <w:tcW w:w="1025" w:type="dxa"/>
          </w:tcPr>
          <w:p w14:paraId="4BAAF3F1" w14:textId="77777777" w:rsidR="004840F1" w:rsidRPr="004840F1" w:rsidRDefault="004840F1" w:rsidP="004840F1">
            <w:pPr>
              <w:jc w:val="center"/>
              <w:rPr>
                <w:rFonts w:cstheme="minorHAnsi"/>
                <w:sz w:val="20"/>
                <w:szCs w:val="20"/>
              </w:rPr>
            </w:pPr>
            <w:r w:rsidRPr="004840F1">
              <w:rPr>
                <w:rFonts w:cstheme="minorHAnsi"/>
                <w:sz w:val="20"/>
                <w:szCs w:val="20"/>
              </w:rPr>
              <w:t>55%</w:t>
            </w:r>
          </w:p>
        </w:tc>
        <w:tc>
          <w:tcPr>
            <w:tcW w:w="1024" w:type="dxa"/>
          </w:tcPr>
          <w:p w14:paraId="785D3ED6" w14:textId="77777777" w:rsidR="004840F1" w:rsidRPr="004840F1" w:rsidRDefault="004840F1" w:rsidP="004840F1">
            <w:pPr>
              <w:jc w:val="center"/>
              <w:rPr>
                <w:rFonts w:cstheme="minorHAnsi"/>
                <w:sz w:val="20"/>
                <w:szCs w:val="20"/>
              </w:rPr>
            </w:pPr>
            <w:r w:rsidRPr="004840F1">
              <w:rPr>
                <w:rFonts w:cstheme="minorHAnsi"/>
                <w:sz w:val="20"/>
                <w:szCs w:val="20"/>
              </w:rPr>
              <w:t>45%</w:t>
            </w:r>
          </w:p>
        </w:tc>
        <w:tc>
          <w:tcPr>
            <w:tcW w:w="1029" w:type="dxa"/>
          </w:tcPr>
          <w:p w14:paraId="2C40933A" w14:textId="77777777" w:rsidR="004840F1" w:rsidRPr="004840F1" w:rsidRDefault="004840F1" w:rsidP="004840F1">
            <w:pPr>
              <w:jc w:val="center"/>
              <w:rPr>
                <w:rFonts w:cstheme="minorHAnsi"/>
                <w:sz w:val="20"/>
                <w:szCs w:val="20"/>
              </w:rPr>
            </w:pPr>
            <w:r w:rsidRPr="004840F1">
              <w:rPr>
                <w:rFonts w:cstheme="minorHAnsi"/>
                <w:sz w:val="20"/>
                <w:szCs w:val="20"/>
              </w:rPr>
              <w:t>-</w:t>
            </w:r>
          </w:p>
        </w:tc>
      </w:tr>
      <w:tr w:rsidR="004840F1" w:rsidRPr="004840F1" w14:paraId="2FB1C3C3" w14:textId="77777777" w:rsidTr="00F74099">
        <w:trPr>
          <w:trHeight w:val="113"/>
        </w:trPr>
        <w:tc>
          <w:tcPr>
            <w:tcW w:w="3389" w:type="dxa"/>
            <w:vAlign w:val="center"/>
          </w:tcPr>
          <w:p w14:paraId="38F374C5" w14:textId="77777777" w:rsidR="004840F1" w:rsidRPr="004840F1" w:rsidRDefault="004840F1" w:rsidP="004840F1">
            <w:pPr>
              <w:rPr>
                <w:rFonts w:cstheme="minorHAnsi"/>
                <w:sz w:val="20"/>
                <w:szCs w:val="20"/>
              </w:rPr>
            </w:pPr>
            <w:r w:rsidRPr="004840F1">
              <w:rPr>
                <w:rFonts w:cstheme="minorHAnsi"/>
                <w:sz w:val="20"/>
                <w:szCs w:val="20"/>
              </w:rPr>
              <w:t>Age (years)</w:t>
            </w:r>
          </w:p>
        </w:tc>
        <w:tc>
          <w:tcPr>
            <w:tcW w:w="1024" w:type="dxa"/>
          </w:tcPr>
          <w:p w14:paraId="6ED3868D" w14:textId="77777777" w:rsidR="004840F1" w:rsidRPr="004840F1" w:rsidRDefault="004840F1" w:rsidP="004840F1">
            <w:pPr>
              <w:jc w:val="center"/>
              <w:rPr>
                <w:rFonts w:cstheme="minorHAnsi"/>
                <w:sz w:val="20"/>
                <w:szCs w:val="20"/>
              </w:rPr>
            </w:pPr>
          </w:p>
        </w:tc>
        <w:tc>
          <w:tcPr>
            <w:tcW w:w="1025" w:type="dxa"/>
          </w:tcPr>
          <w:p w14:paraId="43DDB906" w14:textId="77777777" w:rsidR="004840F1" w:rsidRPr="004840F1" w:rsidRDefault="004840F1" w:rsidP="004840F1">
            <w:pPr>
              <w:jc w:val="center"/>
              <w:rPr>
                <w:rFonts w:cstheme="minorHAnsi"/>
                <w:sz w:val="20"/>
                <w:szCs w:val="20"/>
              </w:rPr>
            </w:pPr>
          </w:p>
        </w:tc>
        <w:tc>
          <w:tcPr>
            <w:tcW w:w="1026" w:type="dxa"/>
          </w:tcPr>
          <w:p w14:paraId="2C0FE0F1" w14:textId="77777777" w:rsidR="004840F1" w:rsidRPr="004840F1" w:rsidRDefault="004840F1" w:rsidP="004840F1">
            <w:pPr>
              <w:jc w:val="center"/>
              <w:rPr>
                <w:rFonts w:cstheme="minorHAnsi"/>
                <w:sz w:val="20"/>
                <w:szCs w:val="20"/>
              </w:rPr>
            </w:pPr>
          </w:p>
        </w:tc>
        <w:tc>
          <w:tcPr>
            <w:tcW w:w="1025" w:type="dxa"/>
          </w:tcPr>
          <w:p w14:paraId="78353525" w14:textId="77777777" w:rsidR="004840F1" w:rsidRPr="004840F1" w:rsidRDefault="004840F1" w:rsidP="004840F1">
            <w:pPr>
              <w:jc w:val="center"/>
              <w:rPr>
                <w:rFonts w:cstheme="minorHAnsi"/>
                <w:sz w:val="20"/>
                <w:szCs w:val="20"/>
              </w:rPr>
            </w:pPr>
          </w:p>
        </w:tc>
        <w:tc>
          <w:tcPr>
            <w:tcW w:w="1024" w:type="dxa"/>
          </w:tcPr>
          <w:p w14:paraId="2C44C41A" w14:textId="77777777" w:rsidR="004840F1" w:rsidRPr="004840F1" w:rsidRDefault="004840F1" w:rsidP="004840F1">
            <w:pPr>
              <w:jc w:val="center"/>
              <w:rPr>
                <w:rFonts w:cstheme="minorHAnsi"/>
                <w:sz w:val="20"/>
                <w:szCs w:val="20"/>
              </w:rPr>
            </w:pPr>
          </w:p>
        </w:tc>
        <w:tc>
          <w:tcPr>
            <w:tcW w:w="1029" w:type="dxa"/>
          </w:tcPr>
          <w:p w14:paraId="6523F66E" w14:textId="77777777" w:rsidR="004840F1" w:rsidRPr="004840F1" w:rsidRDefault="004840F1" w:rsidP="004840F1">
            <w:pPr>
              <w:jc w:val="center"/>
              <w:rPr>
                <w:rFonts w:cstheme="minorHAnsi"/>
                <w:sz w:val="20"/>
                <w:szCs w:val="20"/>
              </w:rPr>
            </w:pPr>
          </w:p>
        </w:tc>
      </w:tr>
      <w:tr w:rsidR="004840F1" w:rsidRPr="004840F1" w14:paraId="77120349" w14:textId="77777777" w:rsidTr="00F74099">
        <w:trPr>
          <w:trHeight w:val="113"/>
        </w:trPr>
        <w:tc>
          <w:tcPr>
            <w:tcW w:w="3389" w:type="dxa"/>
          </w:tcPr>
          <w:p w14:paraId="51AFD599" w14:textId="77777777" w:rsidR="004840F1" w:rsidRPr="004840F1" w:rsidRDefault="004840F1" w:rsidP="004840F1">
            <w:pPr>
              <w:rPr>
                <w:rFonts w:cstheme="minorHAnsi"/>
                <w:sz w:val="20"/>
                <w:szCs w:val="20"/>
              </w:rPr>
            </w:pPr>
            <w:r w:rsidRPr="004840F1">
              <w:rPr>
                <w:rFonts w:cstheme="minorHAnsi"/>
                <w:sz w:val="20"/>
                <w:szCs w:val="20"/>
              </w:rPr>
              <w:t>Average</w:t>
            </w:r>
          </w:p>
        </w:tc>
        <w:tc>
          <w:tcPr>
            <w:tcW w:w="1024" w:type="dxa"/>
          </w:tcPr>
          <w:p w14:paraId="61A22C8A" w14:textId="77777777" w:rsidR="004840F1" w:rsidRPr="004840F1" w:rsidRDefault="004840F1" w:rsidP="004840F1">
            <w:pPr>
              <w:jc w:val="center"/>
              <w:rPr>
                <w:rFonts w:cstheme="minorHAnsi"/>
                <w:sz w:val="20"/>
                <w:szCs w:val="20"/>
              </w:rPr>
            </w:pPr>
            <w:r w:rsidRPr="004840F1">
              <w:rPr>
                <w:rFonts w:cstheme="minorHAnsi"/>
                <w:sz w:val="20"/>
                <w:szCs w:val="20"/>
              </w:rPr>
              <w:t>34</w:t>
            </w:r>
          </w:p>
        </w:tc>
        <w:tc>
          <w:tcPr>
            <w:tcW w:w="1025" w:type="dxa"/>
          </w:tcPr>
          <w:p w14:paraId="2593A1CC" w14:textId="77777777" w:rsidR="004840F1" w:rsidRPr="004840F1" w:rsidRDefault="004840F1" w:rsidP="004840F1">
            <w:pPr>
              <w:jc w:val="center"/>
              <w:rPr>
                <w:rFonts w:cstheme="minorHAnsi"/>
                <w:sz w:val="20"/>
                <w:szCs w:val="20"/>
              </w:rPr>
            </w:pPr>
            <w:r w:rsidRPr="004840F1">
              <w:rPr>
                <w:rFonts w:cstheme="minorHAnsi"/>
                <w:sz w:val="20"/>
                <w:szCs w:val="20"/>
              </w:rPr>
              <w:t>40</w:t>
            </w:r>
          </w:p>
        </w:tc>
        <w:tc>
          <w:tcPr>
            <w:tcW w:w="1026" w:type="dxa"/>
          </w:tcPr>
          <w:p w14:paraId="2BB2C5A9" w14:textId="77777777" w:rsidR="004840F1" w:rsidRPr="004840F1" w:rsidRDefault="004840F1" w:rsidP="004840F1">
            <w:pPr>
              <w:jc w:val="center"/>
              <w:rPr>
                <w:rFonts w:cstheme="minorHAnsi"/>
                <w:sz w:val="20"/>
                <w:szCs w:val="20"/>
              </w:rPr>
            </w:pPr>
            <w:r w:rsidRPr="004840F1">
              <w:rPr>
                <w:rFonts w:cstheme="minorHAnsi"/>
                <w:sz w:val="20"/>
                <w:szCs w:val="20"/>
              </w:rPr>
              <w:t>37</w:t>
            </w:r>
          </w:p>
        </w:tc>
        <w:tc>
          <w:tcPr>
            <w:tcW w:w="1025" w:type="dxa"/>
          </w:tcPr>
          <w:p w14:paraId="0455A0DE" w14:textId="77777777" w:rsidR="004840F1" w:rsidRPr="004840F1" w:rsidRDefault="004840F1" w:rsidP="004840F1">
            <w:pPr>
              <w:jc w:val="center"/>
              <w:rPr>
                <w:rFonts w:cstheme="minorHAnsi"/>
                <w:sz w:val="20"/>
                <w:szCs w:val="20"/>
              </w:rPr>
            </w:pPr>
            <w:r w:rsidRPr="004840F1">
              <w:rPr>
                <w:rFonts w:cstheme="minorHAnsi"/>
                <w:sz w:val="20"/>
                <w:szCs w:val="20"/>
              </w:rPr>
              <w:t>35</w:t>
            </w:r>
          </w:p>
        </w:tc>
        <w:tc>
          <w:tcPr>
            <w:tcW w:w="1024" w:type="dxa"/>
          </w:tcPr>
          <w:p w14:paraId="6409082A" w14:textId="77777777" w:rsidR="004840F1" w:rsidRPr="004840F1" w:rsidRDefault="004840F1" w:rsidP="004840F1">
            <w:pPr>
              <w:jc w:val="center"/>
              <w:rPr>
                <w:rFonts w:cstheme="minorHAnsi"/>
                <w:sz w:val="20"/>
                <w:szCs w:val="20"/>
              </w:rPr>
            </w:pPr>
            <w:r w:rsidRPr="004840F1">
              <w:rPr>
                <w:rFonts w:cstheme="minorHAnsi"/>
                <w:sz w:val="20"/>
                <w:szCs w:val="20"/>
              </w:rPr>
              <w:t>37</w:t>
            </w:r>
          </w:p>
        </w:tc>
        <w:tc>
          <w:tcPr>
            <w:tcW w:w="1029" w:type="dxa"/>
          </w:tcPr>
          <w:p w14:paraId="498B10D8" w14:textId="77777777" w:rsidR="004840F1" w:rsidRPr="004840F1" w:rsidRDefault="004840F1" w:rsidP="004840F1">
            <w:pPr>
              <w:jc w:val="center"/>
              <w:rPr>
                <w:rFonts w:cstheme="minorHAnsi"/>
                <w:sz w:val="20"/>
                <w:szCs w:val="20"/>
              </w:rPr>
            </w:pPr>
            <w:r w:rsidRPr="004840F1">
              <w:rPr>
                <w:rFonts w:cstheme="minorHAnsi"/>
                <w:sz w:val="20"/>
                <w:szCs w:val="20"/>
              </w:rPr>
              <w:t>36</w:t>
            </w:r>
          </w:p>
        </w:tc>
      </w:tr>
      <w:tr w:rsidR="004840F1" w:rsidRPr="004840F1" w14:paraId="19EC9203" w14:textId="77777777" w:rsidTr="00F74099">
        <w:trPr>
          <w:trHeight w:val="113"/>
        </w:trPr>
        <w:tc>
          <w:tcPr>
            <w:tcW w:w="3389" w:type="dxa"/>
          </w:tcPr>
          <w:p w14:paraId="0914F90A" w14:textId="77777777" w:rsidR="004840F1" w:rsidRPr="004840F1" w:rsidRDefault="004840F1" w:rsidP="004840F1">
            <w:pPr>
              <w:rPr>
                <w:rFonts w:cstheme="minorHAnsi"/>
                <w:sz w:val="20"/>
                <w:szCs w:val="20"/>
              </w:rPr>
            </w:pPr>
            <w:r w:rsidRPr="004840F1">
              <w:rPr>
                <w:rFonts w:cstheme="minorHAnsi"/>
                <w:sz w:val="20"/>
                <w:szCs w:val="20"/>
              </w:rPr>
              <w:t>Youngest</w:t>
            </w:r>
          </w:p>
        </w:tc>
        <w:tc>
          <w:tcPr>
            <w:tcW w:w="1024" w:type="dxa"/>
          </w:tcPr>
          <w:p w14:paraId="04A2AF4E" w14:textId="77777777" w:rsidR="004840F1" w:rsidRPr="004840F1" w:rsidRDefault="004840F1" w:rsidP="004840F1">
            <w:pPr>
              <w:jc w:val="center"/>
              <w:rPr>
                <w:rFonts w:cstheme="minorHAnsi"/>
                <w:sz w:val="20"/>
                <w:szCs w:val="20"/>
              </w:rPr>
            </w:pPr>
          </w:p>
        </w:tc>
        <w:tc>
          <w:tcPr>
            <w:tcW w:w="1025" w:type="dxa"/>
          </w:tcPr>
          <w:p w14:paraId="702BFF6D" w14:textId="77777777" w:rsidR="004840F1" w:rsidRPr="004840F1" w:rsidRDefault="004840F1" w:rsidP="004840F1">
            <w:pPr>
              <w:jc w:val="center"/>
              <w:rPr>
                <w:rFonts w:cstheme="minorHAnsi"/>
                <w:sz w:val="20"/>
                <w:szCs w:val="20"/>
              </w:rPr>
            </w:pPr>
          </w:p>
        </w:tc>
        <w:tc>
          <w:tcPr>
            <w:tcW w:w="1026" w:type="dxa"/>
          </w:tcPr>
          <w:p w14:paraId="62F2EC5C" w14:textId="048E713C" w:rsidR="004840F1" w:rsidRPr="004840F1" w:rsidRDefault="004E3308" w:rsidP="004840F1">
            <w:pPr>
              <w:jc w:val="center"/>
              <w:rPr>
                <w:rFonts w:cstheme="minorHAnsi"/>
                <w:sz w:val="20"/>
                <w:szCs w:val="20"/>
              </w:rPr>
            </w:pPr>
            <w:r>
              <w:rPr>
                <w:rFonts w:cstheme="minorHAnsi"/>
                <w:sz w:val="20"/>
                <w:szCs w:val="20"/>
              </w:rPr>
              <w:t>1</w:t>
            </w:r>
            <w:r w:rsidR="004840F1" w:rsidRPr="004840F1">
              <w:rPr>
                <w:rFonts w:cstheme="minorHAnsi"/>
                <w:sz w:val="20"/>
                <w:szCs w:val="20"/>
              </w:rPr>
              <w:t>9</w:t>
            </w:r>
          </w:p>
        </w:tc>
        <w:tc>
          <w:tcPr>
            <w:tcW w:w="1025" w:type="dxa"/>
          </w:tcPr>
          <w:p w14:paraId="1C6277B1" w14:textId="77777777" w:rsidR="004840F1" w:rsidRPr="004840F1" w:rsidRDefault="004840F1" w:rsidP="004840F1">
            <w:pPr>
              <w:jc w:val="center"/>
              <w:rPr>
                <w:rFonts w:cstheme="minorHAnsi"/>
                <w:sz w:val="20"/>
                <w:szCs w:val="20"/>
              </w:rPr>
            </w:pPr>
          </w:p>
        </w:tc>
        <w:tc>
          <w:tcPr>
            <w:tcW w:w="1024" w:type="dxa"/>
          </w:tcPr>
          <w:p w14:paraId="089674DB" w14:textId="77777777" w:rsidR="004840F1" w:rsidRPr="004840F1" w:rsidRDefault="004840F1" w:rsidP="004840F1">
            <w:pPr>
              <w:jc w:val="center"/>
              <w:rPr>
                <w:rFonts w:cstheme="minorHAnsi"/>
                <w:sz w:val="20"/>
                <w:szCs w:val="20"/>
              </w:rPr>
            </w:pPr>
          </w:p>
        </w:tc>
        <w:tc>
          <w:tcPr>
            <w:tcW w:w="1029" w:type="dxa"/>
          </w:tcPr>
          <w:p w14:paraId="0F0DA7D7" w14:textId="77777777" w:rsidR="004840F1" w:rsidRPr="004840F1" w:rsidRDefault="004840F1" w:rsidP="004840F1">
            <w:pPr>
              <w:jc w:val="center"/>
              <w:rPr>
                <w:rFonts w:cstheme="minorHAnsi"/>
                <w:sz w:val="20"/>
                <w:szCs w:val="20"/>
              </w:rPr>
            </w:pPr>
            <w:r w:rsidRPr="004840F1">
              <w:rPr>
                <w:rFonts w:cstheme="minorHAnsi"/>
                <w:sz w:val="20"/>
                <w:szCs w:val="20"/>
              </w:rPr>
              <w:t>20</w:t>
            </w:r>
          </w:p>
        </w:tc>
      </w:tr>
      <w:tr w:rsidR="004840F1" w:rsidRPr="004840F1" w14:paraId="666C78C2" w14:textId="77777777" w:rsidTr="00F74099">
        <w:trPr>
          <w:trHeight w:val="113"/>
        </w:trPr>
        <w:tc>
          <w:tcPr>
            <w:tcW w:w="3389" w:type="dxa"/>
          </w:tcPr>
          <w:p w14:paraId="23AA4BB1" w14:textId="77777777" w:rsidR="004840F1" w:rsidRPr="004840F1" w:rsidRDefault="004840F1" w:rsidP="004840F1">
            <w:pPr>
              <w:rPr>
                <w:rFonts w:cstheme="minorHAnsi"/>
                <w:sz w:val="20"/>
                <w:szCs w:val="20"/>
              </w:rPr>
            </w:pPr>
            <w:r w:rsidRPr="004840F1">
              <w:rPr>
                <w:rFonts w:cstheme="minorHAnsi"/>
                <w:sz w:val="20"/>
                <w:szCs w:val="20"/>
              </w:rPr>
              <w:t>Oldest</w:t>
            </w:r>
          </w:p>
        </w:tc>
        <w:tc>
          <w:tcPr>
            <w:tcW w:w="1024" w:type="dxa"/>
          </w:tcPr>
          <w:p w14:paraId="57268D88" w14:textId="77777777" w:rsidR="004840F1" w:rsidRPr="004840F1" w:rsidRDefault="004840F1" w:rsidP="004840F1">
            <w:pPr>
              <w:jc w:val="center"/>
              <w:rPr>
                <w:rFonts w:cstheme="minorHAnsi"/>
                <w:sz w:val="20"/>
                <w:szCs w:val="20"/>
              </w:rPr>
            </w:pPr>
          </w:p>
        </w:tc>
        <w:tc>
          <w:tcPr>
            <w:tcW w:w="1025" w:type="dxa"/>
          </w:tcPr>
          <w:p w14:paraId="7D107823" w14:textId="77777777" w:rsidR="004840F1" w:rsidRPr="004840F1" w:rsidRDefault="004840F1" w:rsidP="004840F1">
            <w:pPr>
              <w:jc w:val="center"/>
              <w:rPr>
                <w:rFonts w:cstheme="minorHAnsi"/>
                <w:sz w:val="20"/>
                <w:szCs w:val="20"/>
              </w:rPr>
            </w:pPr>
          </w:p>
        </w:tc>
        <w:tc>
          <w:tcPr>
            <w:tcW w:w="1026" w:type="dxa"/>
          </w:tcPr>
          <w:p w14:paraId="7BDDDFD5" w14:textId="77777777" w:rsidR="004840F1" w:rsidRPr="004840F1" w:rsidRDefault="004840F1" w:rsidP="004840F1">
            <w:pPr>
              <w:jc w:val="center"/>
              <w:rPr>
                <w:rFonts w:cstheme="minorHAnsi"/>
                <w:sz w:val="20"/>
                <w:szCs w:val="20"/>
              </w:rPr>
            </w:pPr>
            <w:r w:rsidRPr="004840F1">
              <w:rPr>
                <w:rFonts w:cstheme="minorHAnsi"/>
                <w:sz w:val="20"/>
                <w:szCs w:val="20"/>
              </w:rPr>
              <w:t>69</w:t>
            </w:r>
          </w:p>
        </w:tc>
        <w:tc>
          <w:tcPr>
            <w:tcW w:w="1025" w:type="dxa"/>
          </w:tcPr>
          <w:p w14:paraId="09E0D7CF" w14:textId="77777777" w:rsidR="004840F1" w:rsidRPr="004840F1" w:rsidRDefault="004840F1" w:rsidP="004840F1">
            <w:pPr>
              <w:jc w:val="center"/>
              <w:rPr>
                <w:rFonts w:cstheme="minorHAnsi"/>
                <w:sz w:val="20"/>
                <w:szCs w:val="20"/>
              </w:rPr>
            </w:pPr>
          </w:p>
        </w:tc>
        <w:tc>
          <w:tcPr>
            <w:tcW w:w="1024" w:type="dxa"/>
          </w:tcPr>
          <w:p w14:paraId="11C3C332" w14:textId="77777777" w:rsidR="004840F1" w:rsidRPr="004840F1" w:rsidRDefault="004840F1" w:rsidP="004840F1">
            <w:pPr>
              <w:jc w:val="center"/>
              <w:rPr>
                <w:rFonts w:cstheme="minorHAnsi"/>
                <w:sz w:val="20"/>
                <w:szCs w:val="20"/>
              </w:rPr>
            </w:pPr>
          </w:p>
        </w:tc>
        <w:tc>
          <w:tcPr>
            <w:tcW w:w="1029" w:type="dxa"/>
          </w:tcPr>
          <w:p w14:paraId="1E2401F9" w14:textId="77777777" w:rsidR="004840F1" w:rsidRPr="004840F1" w:rsidRDefault="004840F1" w:rsidP="004840F1">
            <w:pPr>
              <w:jc w:val="center"/>
              <w:rPr>
                <w:rFonts w:cstheme="minorHAnsi"/>
                <w:sz w:val="20"/>
                <w:szCs w:val="20"/>
              </w:rPr>
            </w:pPr>
            <w:r w:rsidRPr="004840F1">
              <w:rPr>
                <w:rFonts w:cstheme="minorHAnsi"/>
                <w:sz w:val="20"/>
                <w:szCs w:val="20"/>
              </w:rPr>
              <w:t>63</w:t>
            </w:r>
          </w:p>
        </w:tc>
      </w:tr>
      <w:tr w:rsidR="004840F1" w:rsidRPr="004840F1" w14:paraId="3D45A4C2" w14:textId="77777777" w:rsidTr="00F74099">
        <w:trPr>
          <w:trHeight w:val="113"/>
        </w:trPr>
        <w:tc>
          <w:tcPr>
            <w:tcW w:w="9542" w:type="dxa"/>
            <w:gridSpan w:val="7"/>
            <w:shd w:val="clear" w:color="auto" w:fill="BFBFBF" w:themeFill="background1" w:themeFillShade="BF"/>
            <w:vAlign w:val="center"/>
          </w:tcPr>
          <w:p w14:paraId="6A61995E" w14:textId="77777777" w:rsidR="004840F1" w:rsidRPr="004840F1" w:rsidRDefault="004840F1" w:rsidP="004840F1">
            <w:pPr>
              <w:rPr>
                <w:rFonts w:cstheme="minorHAnsi"/>
                <w:b/>
                <w:bCs/>
                <w:sz w:val="20"/>
                <w:szCs w:val="20"/>
              </w:rPr>
            </w:pPr>
            <w:r w:rsidRPr="004840F1">
              <w:rPr>
                <w:rFonts w:cstheme="minorHAnsi"/>
                <w:b/>
                <w:bCs/>
                <w:sz w:val="20"/>
                <w:szCs w:val="20"/>
              </w:rPr>
              <w:t>Education (highest level completed)</w:t>
            </w:r>
          </w:p>
        </w:tc>
      </w:tr>
      <w:tr w:rsidR="004840F1" w:rsidRPr="004840F1" w14:paraId="34574D99" w14:textId="77777777" w:rsidTr="00F74099">
        <w:trPr>
          <w:trHeight w:val="113"/>
        </w:trPr>
        <w:tc>
          <w:tcPr>
            <w:tcW w:w="3389" w:type="dxa"/>
            <w:vAlign w:val="center"/>
          </w:tcPr>
          <w:p w14:paraId="33CE78C0" w14:textId="77777777" w:rsidR="004840F1" w:rsidRPr="004840F1" w:rsidRDefault="004840F1" w:rsidP="004840F1">
            <w:pPr>
              <w:rPr>
                <w:rFonts w:cstheme="minorHAnsi"/>
                <w:sz w:val="20"/>
                <w:szCs w:val="20"/>
              </w:rPr>
            </w:pPr>
            <w:r w:rsidRPr="004840F1">
              <w:rPr>
                <w:rFonts w:cstheme="minorHAnsi"/>
                <w:sz w:val="20"/>
                <w:szCs w:val="20"/>
              </w:rPr>
              <w:t>Below secondary</w:t>
            </w:r>
          </w:p>
        </w:tc>
        <w:tc>
          <w:tcPr>
            <w:tcW w:w="1024" w:type="dxa"/>
          </w:tcPr>
          <w:p w14:paraId="12FB222A" w14:textId="77777777" w:rsidR="004840F1" w:rsidRPr="004840F1" w:rsidRDefault="004840F1" w:rsidP="004840F1">
            <w:pPr>
              <w:jc w:val="center"/>
              <w:rPr>
                <w:rFonts w:cstheme="minorHAnsi"/>
                <w:sz w:val="20"/>
                <w:szCs w:val="20"/>
              </w:rPr>
            </w:pPr>
            <w:r w:rsidRPr="004840F1">
              <w:rPr>
                <w:rFonts w:cstheme="minorHAnsi"/>
                <w:sz w:val="20"/>
                <w:szCs w:val="20"/>
              </w:rPr>
              <w:t>75%</w:t>
            </w:r>
          </w:p>
        </w:tc>
        <w:tc>
          <w:tcPr>
            <w:tcW w:w="1025" w:type="dxa"/>
          </w:tcPr>
          <w:p w14:paraId="475A5284" w14:textId="77777777" w:rsidR="004840F1" w:rsidRPr="004840F1" w:rsidRDefault="004840F1" w:rsidP="004840F1">
            <w:pPr>
              <w:jc w:val="center"/>
              <w:rPr>
                <w:rFonts w:cstheme="minorHAnsi"/>
                <w:sz w:val="20"/>
                <w:szCs w:val="20"/>
              </w:rPr>
            </w:pPr>
            <w:r w:rsidRPr="004840F1">
              <w:rPr>
                <w:rFonts w:cstheme="minorHAnsi"/>
                <w:sz w:val="20"/>
                <w:szCs w:val="20"/>
              </w:rPr>
              <w:t>96%</w:t>
            </w:r>
          </w:p>
        </w:tc>
        <w:tc>
          <w:tcPr>
            <w:tcW w:w="1026" w:type="dxa"/>
          </w:tcPr>
          <w:p w14:paraId="6F1C60B3" w14:textId="77777777" w:rsidR="004840F1" w:rsidRPr="004840F1" w:rsidRDefault="004840F1" w:rsidP="004840F1">
            <w:pPr>
              <w:jc w:val="center"/>
              <w:rPr>
                <w:rFonts w:cstheme="minorHAnsi"/>
                <w:sz w:val="20"/>
                <w:szCs w:val="20"/>
              </w:rPr>
            </w:pPr>
            <w:r w:rsidRPr="004840F1">
              <w:rPr>
                <w:rFonts w:cstheme="minorHAnsi"/>
                <w:sz w:val="20"/>
                <w:szCs w:val="20"/>
              </w:rPr>
              <w:t>83%</w:t>
            </w:r>
          </w:p>
        </w:tc>
        <w:tc>
          <w:tcPr>
            <w:tcW w:w="1025" w:type="dxa"/>
          </w:tcPr>
          <w:p w14:paraId="2EB6AF8F" w14:textId="77777777" w:rsidR="004840F1" w:rsidRPr="004840F1" w:rsidRDefault="004840F1" w:rsidP="004840F1">
            <w:pPr>
              <w:jc w:val="center"/>
              <w:rPr>
                <w:rFonts w:cstheme="minorHAnsi"/>
                <w:sz w:val="20"/>
                <w:szCs w:val="20"/>
              </w:rPr>
            </w:pPr>
            <w:r w:rsidRPr="004840F1">
              <w:rPr>
                <w:rFonts w:cstheme="minorHAnsi"/>
                <w:sz w:val="20"/>
                <w:szCs w:val="20"/>
              </w:rPr>
              <w:t>70%</w:t>
            </w:r>
          </w:p>
        </w:tc>
        <w:tc>
          <w:tcPr>
            <w:tcW w:w="1024" w:type="dxa"/>
          </w:tcPr>
          <w:p w14:paraId="3179D698" w14:textId="77777777" w:rsidR="004840F1" w:rsidRPr="004840F1" w:rsidRDefault="004840F1" w:rsidP="004840F1">
            <w:pPr>
              <w:jc w:val="center"/>
              <w:rPr>
                <w:rFonts w:cstheme="minorHAnsi"/>
                <w:sz w:val="20"/>
                <w:szCs w:val="20"/>
              </w:rPr>
            </w:pPr>
            <w:r w:rsidRPr="004840F1">
              <w:rPr>
                <w:rFonts w:cstheme="minorHAnsi"/>
                <w:sz w:val="20"/>
                <w:szCs w:val="20"/>
              </w:rPr>
              <w:t>96%</w:t>
            </w:r>
          </w:p>
        </w:tc>
        <w:tc>
          <w:tcPr>
            <w:tcW w:w="1029" w:type="dxa"/>
          </w:tcPr>
          <w:p w14:paraId="2A2A504C" w14:textId="77777777" w:rsidR="004840F1" w:rsidRPr="004840F1" w:rsidRDefault="004840F1" w:rsidP="004840F1">
            <w:pPr>
              <w:jc w:val="center"/>
              <w:rPr>
                <w:rFonts w:cstheme="minorHAnsi"/>
                <w:sz w:val="20"/>
                <w:szCs w:val="20"/>
              </w:rPr>
            </w:pPr>
            <w:r w:rsidRPr="004840F1">
              <w:rPr>
                <w:rFonts w:cstheme="minorHAnsi"/>
                <w:sz w:val="20"/>
                <w:szCs w:val="20"/>
              </w:rPr>
              <w:t>82%</w:t>
            </w:r>
          </w:p>
        </w:tc>
      </w:tr>
      <w:tr w:rsidR="004840F1" w:rsidRPr="004840F1" w14:paraId="46E816F3" w14:textId="77777777" w:rsidTr="00F74099">
        <w:trPr>
          <w:trHeight w:val="113"/>
        </w:trPr>
        <w:tc>
          <w:tcPr>
            <w:tcW w:w="9542" w:type="dxa"/>
            <w:gridSpan w:val="7"/>
            <w:shd w:val="clear" w:color="auto" w:fill="BFBFBF" w:themeFill="background1" w:themeFillShade="BF"/>
            <w:vAlign w:val="center"/>
          </w:tcPr>
          <w:p w14:paraId="1448C632" w14:textId="77777777" w:rsidR="004840F1" w:rsidRPr="004840F1" w:rsidRDefault="004840F1" w:rsidP="004840F1">
            <w:pPr>
              <w:rPr>
                <w:rFonts w:cstheme="minorHAnsi"/>
                <w:b/>
                <w:bCs/>
                <w:sz w:val="20"/>
                <w:szCs w:val="20"/>
              </w:rPr>
            </w:pPr>
            <w:r w:rsidRPr="004840F1">
              <w:rPr>
                <w:rFonts w:cstheme="minorHAnsi"/>
                <w:b/>
                <w:bCs/>
                <w:sz w:val="20"/>
                <w:szCs w:val="20"/>
              </w:rPr>
              <w:t>Households (average number of persons)</w:t>
            </w:r>
          </w:p>
        </w:tc>
      </w:tr>
      <w:tr w:rsidR="004840F1" w:rsidRPr="004840F1" w14:paraId="32A4EA05" w14:textId="77777777" w:rsidTr="00F74099">
        <w:trPr>
          <w:trHeight w:val="113"/>
        </w:trPr>
        <w:tc>
          <w:tcPr>
            <w:tcW w:w="3389" w:type="dxa"/>
          </w:tcPr>
          <w:p w14:paraId="50C53740" w14:textId="77777777" w:rsidR="004840F1" w:rsidRPr="004840F1" w:rsidRDefault="004840F1" w:rsidP="004840F1">
            <w:pPr>
              <w:rPr>
                <w:rFonts w:cstheme="minorHAnsi"/>
                <w:sz w:val="20"/>
                <w:szCs w:val="20"/>
              </w:rPr>
            </w:pPr>
            <w:r w:rsidRPr="004840F1">
              <w:rPr>
                <w:rFonts w:cstheme="minorHAnsi"/>
                <w:sz w:val="20"/>
                <w:szCs w:val="20"/>
              </w:rPr>
              <w:t>Average household size</w:t>
            </w:r>
          </w:p>
        </w:tc>
        <w:tc>
          <w:tcPr>
            <w:tcW w:w="1024" w:type="dxa"/>
          </w:tcPr>
          <w:p w14:paraId="38E57D53" w14:textId="77777777" w:rsidR="004840F1" w:rsidRPr="004840F1" w:rsidRDefault="004840F1" w:rsidP="004840F1">
            <w:pPr>
              <w:jc w:val="center"/>
              <w:rPr>
                <w:rFonts w:cstheme="minorHAnsi"/>
                <w:sz w:val="20"/>
                <w:szCs w:val="20"/>
              </w:rPr>
            </w:pPr>
            <w:r w:rsidRPr="004840F1">
              <w:rPr>
                <w:rFonts w:cstheme="minorHAnsi"/>
                <w:sz w:val="20"/>
                <w:szCs w:val="20"/>
              </w:rPr>
              <w:t>5.9</w:t>
            </w:r>
          </w:p>
        </w:tc>
        <w:tc>
          <w:tcPr>
            <w:tcW w:w="1025" w:type="dxa"/>
          </w:tcPr>
          <w:p w14:paraId="5705A248" w14:textId="77777777" w:rsidR="004840F1" w:rsidRPr="004840F1" w:rsidRDefault="004840F1" w:rsidP="004840F1">
            <w:pPr>
              <w:jc w:val="center"/>
              <w:rPr>
                <w:rFonts w:cstheme="minorHAnsi"/>
                <w:sz w:val="20"/>
                <w:szCs w:val="20"/>
              </w:rPr>
            </w:pPr>
            <w:r w:rsidRPr="004840F1">
              <w:rPr>
                <w:rFonts w:cstheme="minorHAnsi"/>
                <w:sz w:val="20"/>
                <w:szCs w:val="20"/>
              </w:rPr>
              <w:t>6.2</w:t>
            </w:r>
          </w:p>
        </w:tc>
        <w:tc>
          <w:tcPr>
            <w:tcW w:w="1026" w:type="dxa"/>
          </w:tcPr>
          <w:p w14:paraId="0E2F88CA" w14:textId="77777777" w:rsidR="004840F1" w:rsidRPr="004840F1" w:rsidRDefault="004840F1" w:rsidP="004840F1">
            <w:pPr>
              <w:jc w:val="center"/>
              <w:rPr>
                <w:rFonts w:cstheme="minorHAnsi"/>
                <w:sz w:val="20"/>
                <w:szCs w:val="20"/>
              </w:rPr>
            </w:pPr>
            <w:r w:rsidRPr="004840F1">
              <w:rPr>
                <w:rFonts w:cstheme="minorHAnsi"/>
                <w:sz w:val="20"/>
                <w:szCs w:val="20"/>
              </w:rPr>
              <w:t>6.0</w:t>
            </w:r>
          </w:p>
        </w:tc>
        <w:tc>
          <w:tcPr>
            <w:tcW w:w="1025" w:type="dxa"/>
          </w:tcPr>
          <w:p w14:paraId="509F5EAF" w14:textId="77777777" w:rsidR="004840F1" w:rsidRPr="004840F1" w:rsidRDefault="004840F1" w:rsidP="004840F1">
            <w:pPr>
              <w:jc w:val="center"/>
              <w:rPr>
                <w:rFonts w:cstheme="minorHAnsi"/>
                <w:sz w:val="20"/>
                <w:szCs w:val="20"/>
              </w:rPr>
            </w:pPr>
            <w:r w:rsidRPr="004840F1">
              <w:rPr>
                <w:rFonts w:cstheme="minorHAnsi"/>
                <w:sz w:val="20"/>
                <w:szCs w:val="20"/>
              </w:rPr>
              <w:t>6.0</w:t>
            </w:r>
          </w:p>
        </w:tc>
        <w:tc>
          <w:tcPr>
            <w:tcW w:w="1024" w:type="dxa"/>
          </w:tcPr>
          <w:p w14:paraId="0D004D59" w14:textId="77777777" w:rsidR="004840F1" w:rsidRPr="004840F1" w:rsidRDefault="004840F1" w:rsidP="004840F1">
            <w:pPr>
              <w:jc w:val="center"/>
              <w:rPr>
                <w:rFonts w:cstheme="minorHAnsi"/>
                <w:sz w:val="20"/>
                <w:szCs w:val="20"/>
              </w:rPr>
            </w:pPr>
            <w:r w:rsidRPr="004840F1">
              <w:rPr>
                <w:rFonts w:cstheme="minorHAnsi"/>
                <w:sz w:val="20"/>
                <w:szCs w:val="20"/>
              </w:rPr>
              <w:t>7.2</w:t>
            </w:r>
          </w:p>
        </w:tc>
        <w:tc>
          <w:tcPr>
            <w:tcW w:w="1029" w:type="dxa"/>
          </w:tcPr>
          <w:p w14:paraId="5FA406C7" w14:textId="77777777" w:rsidR="004840F1" w:rsidRPr="004840F1" w:rsidRDefault="004840F1" w:rsidP="004840F1">
            <w:pPr>
              <w:jc w:val="center"/>
              <w:rPr>
                <w:rFonts w:cstheme="minorHAnsi"/>
                <w:sz w:val="20"/>
                <w:szCs w:val="20"/>
              </w:rPr>
            </w:pPr>
            <w:r w:rsidRPr="004840F1">
              <w:rPr>
                <w:rFonts w:cstheme="minorHAnsi"/>
                <w:sz w:val="20"/>
                <w:szCs w:val="20"/>
              </w:rPr>
              <w:t>6.5</w:t>
            </w:r>
          </w:p>
        </w:tc>
      </w:tr>
      <w:tr w:rsidR="004840F1" w:rsidRPr="004840F1" w14:paraId="48EB33EE" w14:textId="77777777" w:rsidTr="00F74099">
        <w:trPr>
          <w:trHeight w:val="113"/>
        </w:trPr>
        <w:tc>
          <w:tcPr>
            <w:tcW w:w="3389" w:type="dxa"/>
          </w:tcPr>
          <w:p w14:paraId="7BB2809A" w14:textId="77777777" w:rsidR="004840F1" w:rsidRPr="004840F1" w:rsidRDefault="004840F1" w:rsidP="004840F1">
            <w:pPr>
              <w:rPr>
                <w:rFonts w:cstheme="minorHAnsi"/>
                <w:sz w:val="20"/>
                <w:szCs w:val="20"/>
              </w:rPr>
            </w:pPr>
            <w:r w:rsidRPr="004840F1">
              <w:rPr>
                <w:rFonts w:cstheme="minorHAnsi"/>
                <w:sz w:val="20"/>
                <w:szCs w:val="20"/>
              </w:rPr>
              <w:t>Age dependents (&lt;15 or &gt;64 years)</w:t>
            </w:r>
          </w:p>
        </w:tc>
        <w:tc>
          <w:tcPr>
            <w:tcW w:w="1024" w:type="dxa"/>
          </w:tcPr>
          <w:p w14:paraId="09FC9C65" w14:textId="77777777" w:rsidR="004840F1" w:rsidRPr="004840F1" w:rsidRDefault="004840F1" w:rsidP="004840F1">
            <w:pPr>
              <w:jc w:val="center"/>
              <w:rPr>
                <w:rFonts w:cstheme="minorHAnsi"/>
                <w:sz w:val="20"/>
                <w:szCs w:val="20"/>
              </w:rPr>
            </w:pPr>
            <w:r w:rsidRPr="004840F1">
              <w:rPr>
                <w:rFonts w:cstheme="minorHAnsi"/>
                <w:sz w:val="20"/>
                <w:szCs w:val="20"/>
              </w:rPr>
              <w:t>2.9</w:t>
            </w:r>
          </w:p>
        </w:tc>
        <w:tc>
          <w:tcPr>
            <w:tcW w:w="1025" w:type="dxa"/>
          </w:tcPr>
          <w:p w14:paraId="3B087954" w14:textId="77777777" w:rsidR="004840F1" w:rsidRPr="004840F1" w:rsidRDefault="004840F1" w:rsidP="004840F1">
            <w:pPr>
              <w:jc w:val="center"/>
              <w:rPr>
                <w:rFonts w:cstheme="minorHAnsi"/>
                <w:sz w:val="20"/>
                <w:szCs w:val="20"/>
              </w:rPr>
            </w:pPr>
            <w:r w:rsidRPr="004840F1">
              <w:rPr>
                <w:rFonts w:cstheme="minorHAnsi"/>
                <w:sz w:val="20"/>
                <w:szCs w:val="20"/>
              </w:rPr>
              <w:t>3.2</w:t>
            </w:r>
          </w:p>
        </w:tc>
        <w:tc>
          <w:tcPr>
            <w:tcW w:w="1026" w:type="dxa"/>
          </w:tcPr>
          <w:p w14:paraId="4F234C8E" w14:textId="77777777" w:rsidR="004840F1" w:rsidRPr="004840F1" w:rsidRDefault="004840F1" w:rsidP="004840F1">
            <w:pPr>
              <w:jc w:val="center"/>
              <w:rPr>
                <w:rFonts w:cstheme="minorHAnsi"/>
                <w:sz w:val="20"/>
                <w:szCs w:val="20"/>
              </w:rPr>
            </w:pPr>
            <w:r w:rsidRPr="004840F1">
              <w:rPr>
                <w:rFonts w:cstheme="minorHAnsi"/>
                <w:sz w:val="20"/>
                <w:szCs w:val="20"/>
              </w:rPr>
              <w:t>3.0</w:t>
            </w:r>
          </w:p>
        </w:tc>
        <w:tc>
          <w:tcPr>
            <w:tcW w:w="1025" w:type="dxa"/>
          </w:tcPr>
          <w:p w14:paraId="183CB08A" w14:textId="77777777" w:rsidR="004840F1" w:rsidRPr="004840F1" w:rsidRDefault="004840F1" w:rsidP="004840F1">
            <w:pPr>
              <w:jc w:val="center"/>
              <w:rPr>
                <w:rFonts w:cstheme="minorHAnsi"/>
                <w:sz w:val="20"/>
                <w:szCs w:val="20"/>
              </w:rPr>
            </w:pPr>
            <w:r w:rsidRPr="004840F1">
              <w:rPr>
                <w:rFonts w:cstheme="minorHAnsi"/>
                <w:sz w:val="20"/>
                <w:szCs w:val="20"/>
              </w:rPr>
              <w:t>2.8</w:t>
            </w:r>
          </w:p>
        </w:tc>
        <w:tc>
          <w:tcPr>
            <w:tcW w:w="1024" w:type="dxa"/>
          </w:tcPr>
          <w:p w14:paraId="6B4D6683" w14:textId="77777777" w:rsidR="004840F1" w:rsidRPr="004840F1" w:rsidRDefault="004840F1" w:rsidP="004840F1">
            <w:pPr>
              <w:jc w:val="center"/>
              <w:rPr>
                <w:rFonts w:cstheme="minorHAnsi"/>
                <w:sz w:val="20"/>
                <w:szCs w:val="20"/>
              </w:rPr>
            </w:pPr>
            <w:r w:rsidRPr="004840F1">
              <w:rPr>
                <w:rFonts w:cstheme="minorHAnsi"/>
                <w:sz w:val="20"/>
                <w:szCs w:val="20"/>
              </w:rPr>
              <w:t>3.5</w:t>
            </w:r>
          </w:p>
        </w:tc>
        <w:tc>
          <w:tcPr>
            <w:tcW w:w="1029" w:type="dxa"/>
          </w:tcPr>
          <w:p w14:paraId="13629B44" w14:textId="77777777" w:rsidR="004840F1" w:rsidRPr="004840F1" w:rsidRDefault="004840F1" w:rsidP="004840F1">
            <w:pPr>
              <w:jc w:val="center"/>
              <w:rPr>
                <w:rFonts w:cstheme="minorHAnsi"/>
                <w:sz w:val="20"/>
                <w:szCs w:val="20"/>
              </w:rPr>
            </w:pPr>
            <w:r w:rsidRPr="004840F1">
              <w:rPr>
                <w:rFonts w:cstheme="minorHAnsi"/>
                <w:sz w:val="20"/>
                <w:szCs w:val="20"/>
              </w:rPr>
              <w:t>3.1</w:t>
            </w:r>
          </w:p>
        </w:tc>
      </w:tr>
      <w:tr w:rsidR="004840F1" w:rsidRPr="004840F1" w14:paraId="00A6049E" w14:textId="77777777" w:rsidTr="00F74099">
        <w:trPr>
          <w:trHeight w:val="113"/>
        </w:trPr>
        <w:tc>
          <w:tcPr>
            <w:tcW w:w="3389" w:type="dxa"/>
          </w:tcPr>
          <w:p w14:paraId="0233FC18" w14:textId="77777777" w:rsidR="004840F1" w:rsidRPr="004840F1" w:rsidRDefault="004840F1" w:rsidP="004840F1">
            <w:pPr>
              <w:rPr>
                <w:rFonts w:cstheme="minorHAnsi"/>
                <w:sz w:val="20"/>
                <w:szCs w:val="20"/>
              </w:rPr>
            </w:pPr>
            <w:r w:rsidRPr="004840F1">
              <w:rPr>
                <w:rFonts w:cstheme="minorHAnsi"/>
                <w:sz w:val="20"/>
                <w:szCs w:val="20"/>
              </w:rPr>
              <w:t>Other household members contributing to income</w:t>
            </w:r>
          </w:p>
        </w:tc>
        <w:tc>
          <w:tcPr>
            <w:tcW w:w="1024" w:type="dxa"/>
          </w:tcPr>
          <w:p w14:paraId="1F5AD4E6" w14:textId="77777777" w:rsidR="004840F1" w:rsidRPr="004840F1" w:rsidRDefault="004840F1" w:rsidP="004840F1">
            <w:pPr>
              <w:jc w:val="center"/>
              <w:rPr>
                <w:rFonts w:cstheme="minorHAnsi"/>
                <w:sz w:val="20"/>
                <w:szCs w:val="20"/>
              </w:rPr>
            </w:pPr>
            <w:r w:rsidRPr="004840F1">
              <w:rPr>
                <w:rFonts w:cstheme="minorHAnsi"/>
                <w:sz w:val="20"/>
                <w:szCs w:val="20"/>
              </w:rPr>
              <w:t>0.6</w:t>
            </w:r>
          </w:p>
        </w:tc>
        <w:tc>
          <w:tcPr>
            <w:tcW w:w="1025" w:type="dxa"/>
          </w:tcPr>
          <w:p w14:paraId="7AA64D86" w14:textId="77777777" w:rsidR="004840F1" w:rsidRPr="004840F1" w:rsidRDefault="004840F1" w:rsidP="004840F1">
            <w:pPr>
              <w:jc w:val="center"/>
              <w:rPr>
                <w:rFonts w:cstheme="minorHAnsi"/>
                <w:sz w:val="20"/>
                <w:szCs w:val="20"/>
              </w:rPr>
            </w:pPr>
            <w:r w:rsidRPr="004840F1">
              <w:rPr>
                <w:rFonts w:cstheme="minorHAnsi"/>
                <w:sz w:val="20"/>
                <w:szCs w:val="20"/>
              </w:rPr>
              <w:t>0.8</w:t>
            </w:r>
          </w:p>
        </w:tc>
        <w:tc>
          <w:tcPr>
            <w:tcW w:w="1026" w:type="dxa"/>
          </w:tcPr>
          <w:p w14:paraId="58F919F2" w14:textId="77777777" w:rsidR="004840F1" w:rsidRPr="004840F1" w:rsidRDefault="004840F1" w:rsidP="004840F1">
            <w:pPr>
              <w:jc w:val="center"/>
              <w:rPr>
                <w:rFonts w:cstheme="minorHAnsi"/>
                <w:sz w:val="20"/>
                <w:szCs w:val="20"/>
              </w:rPr>
            </w:pPr>
            <w:r w:rsidRPr="004840F1">
              <w:rPr>
                <w:rFonts w:cstheme="minorHAnsi"/>
                <w:sz w:val="20"/>
                <w:szCs w:val="20"/>
              </w:rPr>
              <w:t>0.7</w:t>
            </w:r>
          </w:p>
        </w:tc>
        <w:tc>
          <w:tcPr>
            <w:tcW w:w="1025" w:type="dxa"/>
          </w:tcPr>
          <w:p w14:paraId="676533F3" w14:textId="77777777" w:rsidR="004840F1" w:rsidRPr="004840F1" w:rsidRDefault="004840F1" w:rsidP="004840F1">
            <w:pPr>
              <w:jc w:val="center"/>
              <w:rPr>
                <w:rFonts w:cstheme="minorHAnsi"/>
                <w:sz w:val="20"/>
                <w:szCs w:val="20"/>
              </w:rPr>
            </w:pPr>
            <w:r w:rsidRPr="004840F1">
              <w:rPr>
                <w:rFonts w:cstheme="minorHAnsi"/>
                <w:sz w:val="20"/>
                <w:szCs w:val="20"/>
              </w:rPr>
              <w:t>0.8</w:t>
            </w:r>
          </w:p>
        </w:tc>
        <w:tc>
          <w:tcPr>
            <w:tcW w:w="1024" w:type="dxa"/>
          </w:tcPr>
          <w:p w14:paraId="3086E5B8" w14:textId="77777777" w:rsidR="004840F1" w:rsidRPr="004840F1" w:rsidRDefault="004840F1" w:rsidP="004840F1">
            <w:pPr>
              <w:jc w:val="center"/>
              <w:rPr>
                <w:rFonts w:cstheme="minorHAnsi"/>
                <w:sz w:val="20"/>
                <w:szCs w:val="20"/>
              </w:rPr>
            </w:pPr>
            <w:r w:rsidRPr="004840F1">
              <w:rPr>
                <w:rFonts w:cstheme="minorHAnsi"/>
                <w:sz w:val="20"/>
                <w:szCs w:val="20"/>
              </w:rPr>
              <w:t>1.2</w:t>
            </w:r>
          </w:p>
        </w:tc>
        <w:tc>
          <w:tcPr>
            <w:tcW w:w="1029" w:type="dxa"/>
          </w:tcPr>
          <w:p w14:paraId="422781A9" w14:textId="77777777" w:rsidR="004840F1" w:rsidRPr="004840F1" w:rsidRDefault="004840F1" w:rsidP="004840F1">
            <w:pPr>
              <w:jc w:val="center"/>
              <w:rPr>
                <w:rFonts w:cstheme="minorHAnsi"/>
                <w:sz w:val="20"/>
                <w:szCs w:val="20"/>
              </w:rPr>
            </w:pPr>
            <w:r w:rsidRPr="004840F1">
              <w:rPr>
                <w:rFonts w:cstheme="minorHAnsi"/>
                <w:sz w:val="20"/>
                <w:szCs w:val="20"/>
              </w:rPr>
              <w:t>1.0</w:t>
            </w:r>
          </w:p>
        </w:tc>
      </w:tr>
    </w:tbl>
    <w:p w14:paraId="7C0BDB2A" w14:textId="77777777" w:rsidR="004840F1" w:rsidRPr="00DC08F5" w:rsidRDefault="004840F1" w:rsidP="004840F1">
      <w:pPr>
        <w:spacing w:after="120"/>
        <w:jc w:val="both"/>
        <w:rPr>
          <w:sz w:val="16"/>
          <w:szCs w:val="16"/>
          <w:lang w:val="fr-BE"/>
        </w:rPr>
      </w:pPr>
      <w:proofErr w:type="gramStart"/>
      <w:r w:rsidRPr="00DC08F5">
        <w:rPr>
          <w:sz w:val="16"/>
          <w:szCs w:val="16"/>
          <w:lang w:val="fr-BE"/>
        </w:rPr>
        <w:t>Source:</w:t>
      </w:r>
      <w:proofErr w:type="gramEnd"/>
      <w:r w:rsidRPr="00DC08F5">
        <w:rPr>
          <w:sz w:val="16"/>
          <w:szCs w:val="16"/>
          <w:lang w:val="fr-BE"/>
        </w:rPr>
        <w:t xml:space="preserve"> Johansson de Silva, Strauss, </w:t>
      </w:r>
      <w:proofErr w:type="spellStart"/>
      <w:r w:rsidRPr="00DC08F5">
        <w:rPr>
          <w:sz w:val="16"/>
          <w:szCs w:val="16"/>
          <w:lang w:val="fr-BE"/>
        </w:rPr>
        <w:t>Morisho</w:t>
      </w:r>
      <w:proofErr w:type="spellEnd"/>
      <w:r w:rsidRPr="00DC08F5">
        <w:rPr>
          <w:sz w:val="16"/>
          <w:szCs w:val="16"/>
          <w:lang w:val="fr-BE"/>
        </w:rPr>
        <w:t>, 2019, 19</w:t>
      </w:r>
    </w:p>
    <w:p w14:paraId="6DE3DC2F" w14:textId="77777777" w:rsidR="004840F1" w:rsidRPr="004840F1" w:rsidRDefault="004840F1" w:rsidP="004840F1">
      <w:pPr>
        <w:keepNext/>
        <w:keepLines/>
        <w:numPr>
          <w:ilvl w:val="2"/>
          <w:numId w:val="0"/>
        </w:numPr>
        <w:spacing w:before="40" w:after="0"/>
        <w:ind w:left="720" w:hanging="720"/>
        <w:jc w:val="both"/>
        <w:outlineLvl w:val="2"/>
        <w:rPr>
          <w:rFonts w:asciiTheme="majorHAnsi" w:eastAsiaTheme="majorEastAsia" w:hAnsiTheme="majorHAnsi" w:cstheme="majorBidi"/>
          <w:color w:val="1F3763" w:themeColor="accent1" w:themeShade="7F"/>
          <w:sz w:val="24"/>
          <w:szCs w:val="24"/>
        </w:rPr>
      </w:pPr>
      <w:bookmarkStart w:id="3" w:name="_Toc32352652"/>
      <w:r w:rsidRPr="004840F1">
        <w:rPr>
          <w:rFonts w:asciiTheme="majorHAnsi" w:eastAsiaTheme="majorEastAsia" w:hAnsiTheme="majorHAnsi" w:cstheme="majorBidi"/>
          <w:color w:val="1F3763" w:themeColor="accent1" w:themeShade="7F"/>
          <w:sz w:val="24"/>
          <w:szCs w:val="24"/>
        </w:rPr>
        <w:t>Key Socio-Economic Findings</w:t>
      </w:r>
      <w:r w:rsidRPr="004840F1" w:rsidDel="00F5014A">
        <w:rPr>
          <w:rFonts w:asciiTheme="majorHAnsi" w:eastAsiaTheme="majorEastAsia" w:hAnsiTheme="majorHAnsi" w:cstheme="majorBidi"/>
          <w:color w:val="1F3763" w:themeColor="accent1" w:themeShade="7F"/>
          <w:sz w:val="24"/>
          <w:szCs w:val="24"/>
        </w:rPr>
        <w:t xml:space="preserve"> </w:t>
      </w:r>
      <w:bookmarkEnd w:id="3"/>
    </w:p>
    <w:p w14:paraId="5982DB1A" w14:textId="77777777" w:rsidR="004840F1" w:rsidRPr="004840F1" w:rsidRDefault="004840F1" w:rsidP="004840F1">
      <w:pPr>
        <w:spacing w:after="120"/>
        <w:jc w:val="both"/>
      </w:pPr>
      <w:r w:rsidRPr="004840F1">
        <w:t>The analysis showed that when implemented with all its components, the project had a strong positive impact on participating miners and contributed significantly to the local economy, but it has not insulated COMIAKOL’s members against the dramatic fall in price of cobalt.</w:t>
      </w:r>
      <w:r w:rsidRPr="004840F1">
        <w:rPr>
          <w:vertAlign w:val="superscript"/>
        </w:rPr>
        <w:endnoteReference w:id="2"/>
      </w:r>
      <w:r w:rsidRPr="004840F1">
        <w:t xml:space="preserve"> Many positive effects, for both male and female workers, have nonetheless endured.  </w:t>
      </w:r>
    </w:p>
    <w:p w14:paraId="0C1C612B" w14:textId="77777777" w:rsidR="004840F1" w:rsidRPr="004840F1" w:rsidRDefault="004840F1" w:rsidP="004840F1">
      <w:pPr>
        <w:numPr>
          <w:ilvl w:val="0"/>
          <w:numId w:val="2"/>
        </w:numPr>
        <w:spacing w:after="120"/>
        <w:contextualSpacing/>
        <w:jc w:val="both"/>
      </w:pPr>
      <w:r w:rsidRPr="004840F1">
        <w:rPr>
          <w:i/>
          <w:iCs/>
        </w:rPr>
        <w:t xml:space="preserve">The project has had significant and positive impacts on productivity of participating artisanal </w:t>
      </w:r>
      <w:proofErr w:type="gramStart"/>
      <w:r w:rsidRPr="004840F1">
        <w:rPr>
          <w:i/>
          <w:iCs/>
        </w:rPr>
        <w:t>miners  when</w:t>
      </w:r>
      <w:proofErr w:type="gramEnd"/>
      <w:r w:rsidRPr="004840F1">
        <w:rPr>
          <w:i/>
          <w:iCs/>
        </w:rPr>
        <w:t xml:space="preserve"> they are on site.</w:t>
      </w:r>
      <w:r w:rsidRPr="004840F1">
        <w:t xml:space="preserve"> Overburden stripping, provision of geological information, and better work-place organization has helped increase output per hour worked.</w:t>
      </w:r>
    </w:p>
    <w:p w14:paraId="37C8779A" w14:textId="77777777" w:rsidR="004840F1" w:rsidRPr="004840F1" w:rsidRDefault="004840F1" w:rsidP="004840F1">
      <w:pPr>
        <w:numPr>
          <w:ilvl w:val="0"/>
          <w:numId w:val="2"/>
        </w:numPr>
        <w:spacing w:after="120"/>
        <w:contextualSpacing/>
        <w:jc w:val="both"/>
      </w:pPr>
      <w:r w:rsidRPr="004840F1">
        <w:rPr>
          <w:i/>
          <w:iCs/>
        </w:rPr>
        <w:t>Reduced operating costs.</w:t>
      </w:r>
      <w:r w:rsidRPr="004840F1">
        <w:rPr>
          <w:b/>
          <w:bCs/>
        </w:rPr>
        <w:t xml:space="preserve"> </w:t>
      </w:r>
      <w:r w:rsidRPr="004840F1">
        <w:t xml:space="preserve">As a result of open-pit mining procedures and </w:t>
      </w:r>
      <w:proofErr w:type="spellStart"/>
      <w:r w:rsidRPr="004840F1">
        <w:t>Chemaf</w:t>
      </w:r>
      <w:proofErr w:type="spellEnd"/>
      <w:r w:rsidRPr="004840F1">
        <w:t xml:space="preserve"> being the only buyer, the project reduced the costs incurred by miners to safeguard their sacks of minerals while transported to trading places by two thirds and eliminated bribes paid to corrupt military and security forces (which some estimated at US$1.20-1.80 per day). </w:t>
      </w:r>
    </w:p>
    <w:p w14:paraId="20A125A4" w14:textId="77777777" w:rsidR="004840F1" w:rsidRPr="004840F1" w:rsidRDefault="004840F1" w:rsidP="004840F1">
      <w:pPr>
        <w:numPr>
          <w:ilvl w:val="0"/>
          <w:numId w:val="2"/>
        </w:numPr>
        <w:spacing w:after="120"/>
        <w:contextualSpacing/>
        <w:jc w:val="both"/>
      </w:pPr>
      <w:r w:rsidRPr="004840F1">
        <w:rPr>
          <w:i/>
          <w:iCs/>
        </w:rPr>
        <w:t>Female artisanal miners have diversified their roles to include better paid positions and earn approximately two and a half times more than before.</w:t>
      </w:r>
      <w:r w:rsidRPr="004840F1">
        <w:t xml:space="preserve"> While 94 percent of women in the Comparator Group worked in the lowest paid role as washers earning an average US$34 per month, through the pilot women at </w:t>
      </w:r>
      <w:proofErr w:type="spellStart"/>
      <w:r w:rsidRPr="004840F1">
        <w:t>Mutoshi</w:t>
      </w:r>
      <w:proofErr w:type="spellEnd"/>
      <w:r w:rsidRPr="004840F1">
        <w:t xml:space="preserve"> have moved into higher paid, once typically male dominated roles. Now 77 percent of women work as collectors (39 percent), diggers (31 percent), and team leader diggers (7 percent) earning over close to and above US$100 per month (Figure 1). </w:t>
      </w:r>
    </w:p>
    <w:p w14:paraId="612DBE1F" w14:textId="77777777" w:rsidR="004840F1" w:rsidRPr="004840F1" w:rsidRDefault="004840F1" w:rsidP="004840F1">
      <w:pPr>
        <w:numPr>
          <w:ilvl w:val="0"/>
          <w:numId w:val="2"/>
        </w:numPr>
        <w:contextualSpacing/>
        <w:jc w:val="both"/>
        <w:rPr>
          <w:b/>
          <w:bCs/>
        </w:rPr>
      </w:pPr>
      <w:r w:rsidRPr="004840F1">
        <w:rPr>
          <w:i/>
          <w:iCs/>
        </w:rPr>
        <w:t>Mine site harassment has decreased.</w:t>
      </w:r>
      <w:r w:rsidRPr="004840F1">
        <w:rPr>
          <w:b/>
          <w:bCs/>
        </w:rPr>
        <w:t xml:space="preserve"> </w:t>
      </w:r>
      <w:r w:rsidRPr="004840F1">
        <w:t xml:space="preserve">Women working at the </w:t>
      </w:r>
      <w:proofErr w:type="spellStart"/>
      <w:r w:rsidRPr="004840F1">
        <w:t>Mutoshi</w:t>
      </w:r>
      <w:proofErr w:type="spellEnd"/>
      <w:r w:rsidRPr="004840F1">
        <w:t xml:space="preserve"> project report that workplace harassment from male colleagues has decreased and that improved site sanitation such as clean water and toilets has had a positive impact on their health and wellbeing.</w:t>
      </w:r>
    </w:p>
    <w:p w14:paraId="32E39849" w14:textId="77777777" w:rsidR="004840F1" w:rsidRPr="004840F1" w:rsidRDefault="004840F1" w:rsidP="004840F1">
      <w:pPr>
        <w:numPr>
          <w:ilvl w:val="0"/>
          <w:numId w:val="2"/>
        </w:numPr>
        <w:contextualSpacing/>
        <w:jc w:val="both"/>
      </w:pPr>
      <w:r w:rsidRPr="004840F1">
        <w:rPr>
          <w:i/>
          <w:iCs/>
        </w:rPr>
        <w:lastRenderedPageBreak/>
        <w:t>Positive economic and social spillover effects from the mine site to the local community.</w:t>
      </w:r>
      <w:r w:rsidRPr="004840F1">
        <w:t xml:space="preserve"> There have been noticeable impacts on the local economy, including the creation of new businesses in response to higher demand for goods and services. Miners spend an estimated three quarters of their total spending on goods that have been locally produced. For every 1,000 miners at the site, the local economic impact is estimated at around US$1 million per year.</w:t>
      </w:r>
      <w:r w:rsidRPr="004840F1">
        <w:rPr>
          <w:rFonts w:eastAsia="Times New Roman"/>
          <w:vertAlign w:val="superscript"/>
        </w:rPr>
        <w:endnoteReference w:id="3"/>
      </w:r>
      <w:r w:rsidRPr="004840F1">
        <w:t xml:space="preserve"> Meanwhile, the majority of new businesses started in the area were owned by women evidencing greater confidence and freedoms as a result of the reduced harassment and bribes sought by government agents. </w:t>
      </w:r>
    </w:p>
    <w:p w14:paraId="6055E702" w14:textId="77777777" w:rsidR="004840F1" w:rsidRPr="004840F1" w:rsidRDefault="004840F1" w:rsidP="004840F1">
      <w:pPr>
        <w:spacing w:after="200" w:line="240" w:lineRule="auto"/>
        <w:jc w:val="both"/>
        <w:rPr>
          <w:b/>
          <w:bCs/>
        </w:rPr>
      </w:pPr>
      <w:r w:rsidRPr="004840F1">
        <w:rPr>
          <w:b/>
          <w:bCs/>
          <w:noProof/>
          <w:lang w:val="en-GB" w:eastAsia="en-GB"/>
        </w:rPr>
        <w:drawing>
          <wp:anchor distT="0" distB="0" distL="114300" distR="114300" simplePos="0" relativeHeight="251659264" behindDoc="0" locked="0" layoutInCell="1" allowOverlap="1" wp14:anchorId="50B3C58E" wp14:editId="1BAEAAB6">
            <wp:simplePos x="0" y="0"/>
            <wp:positionH relativeFrom="column">
              <wp:posOffset>0</wp:posOffset>
            </wp:positionH>
            <wp:positionV relativeFrom="paragraph">
              <wp:posOffset>382698</wp:posOffset>
            </wp:positionV>
            <wp:extent cx="5943600" cy="3131820"/>
            <wp:effectExtent l="0" t="0" r="0" b="0"/>
            <wp:wrapSquare wrapText="bothSides"/>
            <wp:docPr id="14" name="Picture 1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toshi data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31820"/>
                    </a:xfrm>
                    <a:prstGeom prst="rect">
                      <a:avLst/>
                    </a:prstGeom>
                  </pic:spPr>
                </pic:pic>
              </a:graphicData>
            </a:graphic>
            <wp14:sizeRelH relativeFrom="page">
              <wp14:pctWidth>0</wp14:pctWidth>
            </wp14:sizeRelH>
            <wp14:sizeRelV relativeFrom="page">
              <wp14:pctHeight>0</wp14:pctHeight>
            </wp14:sizeRelV>
          </wp:anchor>
        </w:drawing>
      </w:r>
      <w:r w:rsidRPr="004840F1">
        <w:rPr>
          <w:b/>
          <w:bCs/>
        </w:rPr>
        <w:t xml:space="preserve">Figure </w:t>
      </w:r>
      <w:r w:rsidRPr="004840F1">
        <w:rPr>
          <w:b/>
          <w:bCs/>
        </w:rPr>
        <w:fldChar w:fldCharType="begin"/>
      </w:r>
      <w:r w:rsidRPr="004840F1">
        <w:rPr>
          <w:b/>
          <w:bCs/>
        </w:rPr>
        <w:instrText xml:space="preserve"> SEQ Figure \* ARABIC </w:instrText>
      </w:r>
      <w:r w:rsidRPr="004840F1">
        <w:rPr>
          <w:b/>
          <w:bCs/>
        </w:rPr>
        <w:fldChar w:fldCharType="separate"/>
      </w:r>
      <w:r w:rsidRPr="004840F1">
        <w:rPr>
          <w:b/>
          <w:bCs/>
        </w:rPr>
        <w:t>1</w:t>
      </w:r>
      <w:r w:rsidRPr="004840F1">
        <w:rPr>
          <w:b/>
          <w:bCs/>
        </w:rPr>
        <w:fldChar w:fldCharType="end"/>
      </w:r>
      <w:r w:rsidRPr="004840F1">
        <w:rPr>
          <w:b/>
          <w:bCs/>
        </w:rPr>
        <w:t xml:space="preserve">: Increased Earnings and Women’s Job Diversification of </w:t>
      </w:r>
      <w:proofErr w:type="spellStart"/>
      <w:r w:rsidRPr="004840F1">
        <w:rPr>
          <w:b/>
          <w:bCs/>
        </w:rPr>
        <w:t>Mutoshi</w:t>
      </w:r>
      <w:proofErr w:type="spellEnd"/>
      <w:r w:rsidRPr="004840F1">
        <w:rPr>
          <w:b/>
          <w:bCs/>
        </w:rPr>
        <w:t xml:space="preserve"> Pilot Participants vs. Comparator Group</w:t>
      </w:r>
    </w:p>
    <w:p w14:paraId="5A8C244C" w14:textId="77777777" w:rsidR="004840F1" w:rsidRPr="00DC08F5" w:rsidRDefault="004840F1" w:rsidP="004840F1">
      <w:pPr>
        <w:spacing w:after="200" w:line="240" w:lineRule="auto"/>
        <w:jc w:val="both"/>
        <w:rPr>
          <w:b/>
          <w:bCs/>
          <w:sz w:val="16"/>
          <w:szCs w:val="16"/>
          <w:lang w:val="fr-BE"/>
        </w:rPr>
      </w:pPr>
      <w:r w:rsidRPr="004840F1">
        <w:rPr>
          <w:b/>
          <w:bCs/>
        </w:rPr>
        <w:t xml:space="preserve">  </w:t>
      </w:r>
      <w:proofErr w:type="gramStart"/>
      <w:r w:rsidRPr="00DC08F5">
        <w:rPr>
          <w:b/>
          <w:bCs/>
          <w:sz w:val="16"/>
          <w:szCs w:val="16"/>
          <w:lang w:val="fr-BE"/>
        </w:rPr>
        <w:t>Source:</w:t>
      </w:r>
      <w:proofErr w:type="gramEnd"/>
      <w:r w:rsidRPr="00DC08F5">
        <w:rPr>
          <w:b/>
          <w:bCs/>
          <w:sz w:val="16"/>
          <w:szCs w:val="16"/>
          <w:lang w:val="fr-BE"/>
        </w:rPr>
        <w:t xml:space="preserve"> Johansson de Silva, Strauss, </w:t>
      </w:r>
      <w:proofErr w:type="spellStart"/>
      <w:r w:rsidRPr="00DC08F5">
        <w:rPr>
          <w:b/>
          <w:bCs/>
          <w:sz w:val="16"/>
          <w:szCs w:val="16"/>
          <w:lang w:val="fr-BE"/>
        </w:rPr>
        <w:t>Morisho</w:t>
      </w:r>
      <w:proofErr w:type="spellEnd"/>
      <w:r w:rsidRPr="00DC08F5">
        <w:rPr>
          <w:b/>
          <w:bCs/>
          <w:sz w:val="16"/>
          <w:szCs w:val="16"/>
          <w:lang w:val="fr-BE"/>
        </w:rPr>
        <w:t>, 2019</w:t>
      </w:r>
    </w:p>
    <w:p w14:paraId="4D595904" w14:textId="77777777" w:rsidR="004840F1" w:rsidRPr="004840F1" w:rsidRDefault="004840F1" w:rsidP="004840F1">
      <w:pPr>
        <w:keepNext/>
        <w:keepLines/>
        <w:numPr>
          <w:ilvl w:val="2"/>
          <w:numId w:val="0"/>
        </w:numPr>
        <w:spacing w:before="40" w:after="0"/>
        <w:ind w:left="720" w:hanging="720"/>
        <w:jc w:val="both"/>
        <w:outlineLvl w:val="2"/>
        <w:rPr>
          <w:rFonts w:asciiTheme="majorHAnsi" w:eastAsiaTheme="majorEastAsia" w:hAnsiTheme="majorHAnsi" w:cstheme="majorBidi"/>
          <w:color w:val="1F3763" w:themeColor="accent1" w:themeShade="7F"/>
          <w:sz w:val="24"/>
          <w:szCs w:val="24"/>
        </w:rPr>
      </w:pPr>
      <w:r w:rsidRPr="004840F1">
        <w:rPr>
          <w:rFonts w:asciiTheme="majorHAnsi" w:eastAsiaTheme="majorEastAsia" w:hAnsiTheme="majorHAnsi" w:cstheme="majorBidi"/>
          <w:color w:val="1F3763" w:themeColor="accent1" w:themeShade="7F"/>
          <w:sz w:val="24"/>
          <w:szCs w:val="24"/>
        </w:rPr>
        <w:t>Key Health and Safety Findings</w:t>
      </w:r>
    </w:p>
    <w:p w14:paraId="77B8CD62" w14:textId="07938092" w:rsidR="004840F1" w:rsidRPr="004840F1" w:rsidRDefault="004840F1" w:rsidP="004840F1">
      <w:pPr>
        <w:spacing w:after="120"/>
        <w:jc w:val="both"/>
      </w:pPr>
      <w:r w:rsidRPr="004840F1">
        <w:t xml:space="preserve">To ensure a safe operating environment for COMIAKOL, expert identification and management of risks by </w:t>
      </w:r>
      <w:proofErr w:type="spellStart"/>
      <w:r w:rsidRPr="004840F1">
        <w:t>Chemaf’s</w:t>
      </w:r>
      <w:proofErr w:type="spellEnd"/>
      <w:r w:rsidRPr="004840F1">
        <w:t xml:space="preserve"> Health and Safety </w:t>
      </w:r>
      <w:r w:rsidR="00DA6979" w:rsidRPr="004840F1">
        <w:t>manag</w:t>
      </w:r>
      <w:r w:rsidR="00DA6979">
        <w:t>ement</w:t>
      </w:r>
      <w:r w:rsidR="00DA6979" w:rsidRPr="004840F1">
        <w:t xml:space="preserve"> </w:t>
      </w:r>
      <w:r w:rsidRPr="004840F1">
        <w:t xml:space="preserve">is combined with simple site rules. A site risk register is regularly updated and a mixed team of miners, Pact staff, government agents and experts from </w:t>
      </w:r>
      <w:proofErr w:type="spellStart"/>
      <w:r w:rsidRPr="004840F1">
        <w:t>Chemaf</w:t>
      </w:r>
      <w:proofErr w:type="spellEnd"/>
      <w:r w:rsidRPr="004840F1">
        <w:t xml:space="preserve"> conduct inspections multiple times per week to ensure compliance, train miners on best practices, and gather information. Every Monday morning the cooperative management team meets to reinforce key safety topics for the workers, from the importance of wearing steel-toe boots, to how to prevent the spread of illnesses like cholera, and most recently Covid-19.</w:t>
      </w:r>
    </w:p>
    <w:p w14:paraId="07AC2E21" w14:textId="77777777" w:rsidR="004840F1" w:rsidRPr="004840F1" w:rsidRDefault="004840F1" w:rsidP="004840F1">
      <w:pPr>
        <w:spacing w:after="120"/>
        <w:jc w:val="both"/>
      </w:pPr>
      <w:r w:rsidRPr="004840F1">
        <w:t xml:space="preserve">Access to the site is limited to COMIAKOL members, all of whom have been verified to be over 18 years old, alcohol tests are conducted at random to prevent miners from working under the influence, and pit depths are limited to 10 meters or less with most miners working in the open on the surface using simple hand tools while wearing personal protective equipment. Free healthcare is also available on site, where a doctor treats small injuries and common illnesses such as malaria and diarrheal diseases. Clean drinking water and sanitary facilities provided by </w:t>
      </w:r>
      <w:proofErr w:type="spellStart"/>
      <w:r w:rsidRPr="004840F1">
        <w:t>Chemaf</w:t>
      </w:r>
      <w:proofErr w:type="spellEnd"/>
      <w:r w:rsidRPr="004840F1">
        <w:t xml:space="preserve"> mean that the miners can apply these important hygiene lessons reinforcing the practices and preventing disease outbreaks in the workplace and local community. </w:t>
      </w:r>
      <w:r w:rsidRPr="004840F1">
        <w:lastRenderedPageBreak/>
        <w:t xml:space="preserve">As found by the independent analysis, this collaborative approach with COMIAKOL has resulted in notable improvements in health and safety. </w:t>
      </w:r>
    </w:p>
    <w:p w14:paraId="73724F79" w14:textId="77777777" w:rsidR="004840F1" w:rsidRPr="004840F1" w:rsidRDefault="004840F1" w:rsidP="004840F1">
      <w:pPr>
        <w:numPr>
          <w:ilvl w:val="0"/>
          <w:numId w:val="1"/>
        </w:numPr>
        <w:contextualSpacing/>
        <w:jc w:val="both"/>
      </w:pPr>
      <w:r w:rsidRPr="004840F1">
        <w:rPr>
          <w:i/>
          <w:iCs/>
        </w:rPr>
        <w:t>Working conditions have been remarkably improved.</w:t>
      </w:r>
      <w:r w:rsidRPr="004840F1">
        <w:t xml:space="preserve"> Artisanal miners now work in much more hygienic and less dangerous conditions, and they work fewer hours versus the comparator group; on average 1 hour less per day according to survey results. </w:t>
      </w:r>
    </w:p>
    <w:p w14:paraId="035FCA99" w14:textId="77777777" w:rsidR="004840F1" w:rsidRPr="004840F1" w:rsidRDefault="004840F1" w:rsidP="004840F1">
      <w:pPr>
        <w:numPr>
          <w:ilvl w:val="0"/>
          <w:numId w:val="1"/>
        </w:numPr>
        <w:spacing w:after="120" w:line="240" w:lineRule="auto"/>
        <w:contextualSpacing/>
        <w:jc w:val="both"/>
      </w:pPr>
      <w:r w:rsidRPr="004840F1">
        <w:rPr>
          <w:i/>
          <w:iCs/>
        </w:rPr>
        <w:t>Artisanal miners feel safer at their workplace and can spend more time with their families.</w:t>
      </w:r>
      <w:r w:rsidRPr="004840F1">
        <w:t xml:space="preserve"> These improvements have even been sustained during price fluctuations due to the improved working conditions and stability from joining COMIAKOL cooperative enabling them to return home daily.  </w:t>
      </w:r>
    </w:p>
    <w:p w14:paraId="0CEC09F4" w14:textId="77777777" w:rsidR="004840F1" w:rsidRPr="004840F1" w:rsidRDefault="004840F1" w:rsidP="004840F1">
      <w:pPr>
        <w:numPr>
          <w:ilvl w:val="0"/>
          <w:numId w:val="1"/>
        </w:numPr>
        <w:contextualSpacing/>
        <w:jc w:val="both"/>
      </w:pPr>
      <w:r w:rsidRPr="004840F1">
        <w:rPr>
          <w:i/>
          <w:iCs/>
        </w:rPr>
        <w:t>Miners, and particularly female miners, working at the project site are healthier.</w:t>
      </w:r>
      <w:r w:rsidRPr="004840F1">
        <w:t xml:space="preserve"> They are also less absent from work due to illness,</w:t>
      </w:r>
      <w:r w:rsidRPr="004840F1">
        <w:rPr>
          <w:vertAlign w:val="superscript"/>
        </w:rPr>
        <w:endnoteReference w:id="4"/>
      </w:r>
      <w:r w:rsidRPr="004840F1">
        <w:t xml:space="preserve"> </w:t>
      </w:r>
      <w:bookmarkStart w:id="4" w:name="_Toc32352653"/>
      <w:r w:rsidRPr="004840F1">
        <w:t xml:space="preserve">and spend less on medication and hospital bills as compared to the control group due to the strict safety and hygiene measures and access to free healthcare on site.  </w:t>
      </w:r>
    </w:p>
    <w:p w14:paraId="56469C39" w14:textId="77777777" w:rsidR="004840F1" w:rsidRPr="004840F1" w:rsidRDefault="004840F1" w:rsidP="004840F1">
      <w:pPr>
        <w:numPr>
          <w:ilvl w:val="0"/>
          <w:numId w:val="1"/>
        </w:numPr>
        <w:spacing w:after="120" w:line="240" w:lineRule="auto"/>
        <w:contextualSpacing/>
        <w:jc w:val="both"/>
      </w:pPr>
      <w:r w:rsidRPr="004840F1">
        <w:rPr>
          <w:i/>
          <w:iCs/>
        </w:rPr>
        <w:t xml:space="preserve">Over 70 percent of the </w:t>
      </w:r>
      <w:proofErr w:type="spellStart"/>
      <w:r w:rsidRPr="004840F1">
        <w:rPr>
          <w:i/>
          <w:iCs/>
        </w:rPr>
        <w:t>Mutoshi</w:t>
      </w:r>
      <w:proofErr w:type="spellEnd"/>
      <w:r w:rsidRPr="004840F1">
        <w:rPr>
          <w:i/>
          <w:iCs/>
        </w:rPr>
        <w:t xml:space="preserve"> Pilot Project participants stated that they joined to improve their working conditions with respect to safety.</w:t>
      </w:r>
      <w:r w:rsidRPr="004840F1">
        <w:rPr>
          <w:b/>
          <w:bCs/>
        </w:rPr>
        <w:t xml:space="preserve"> </w:t>
      </w:r>
      <w:r w:rsidRPr="004840F1">
        <w:t xml:space="preserve">This demonstrates safety is a priority for the workers as well as other actors in the supply chain. </w:t>
      </w:r>
    </w:p>
    <w:p w14:paraId="6DE41497" w14:textId="77777777" w:rsidR="004840F1" w:rsidRPr="004840F1" w:rsidRDefault="004840F1" w:rsidP="004840F1">
      <w:pPr>
        <w:keepNext/>
        <w:keepLines/>
        <w:numPr>
          <w:ilvl w:val="1"/>
          <w:numId w:val="0"/>
        </w:numPr>
        <w:spacing w:after="120"/>
        <w:ind w:left="576" w:hanging="576"/>
        <w:jc w:val="both"/>
        <w:outlineLvl w:val="1"/>
        <w:rPr>
          <w:rFonts w:asciiTheme="majorHAnsi" w:eastAsiaTheme="majorEastAsia" w:hAnsiTheme="majorHAnsi" w:cstheme="majorBidi"/>
          <w:color w:val="2F5496" w:themeColor="accent1" w:themeShade="BF"/>
          <w:sz w:val="26"/>
          <w:szCs w:val="26"/>
        </w:rPr>
      </w:pPr>
      <w:r w:rsidRPr="004840F1">
        <w:rPr>
          <w:rFonts w:asciiTheme="majorHAnsi" w:eastAsiaTheme="majorEastAsia" w:hAnsiTheme="majorHAnsi" w:cstheme="majorBidi"/>
          <w:color w:val="2F5496" w:themeColor="accent1" w:themeShade="BF"/>
          <w:sz w:val="26"/>
          <w:szCs w:val="26"/>
        </w:rPr>
        <w:t xml:space="preserve">Conclusion </w:t>
      </w:r>
      <w:bookmarkEnd w:id="4"/>
    </w:p>
    <w:p w14:paraId="61F6D58C" w14:textId="77777777" w:rsidR="004840F1" w:rsidRPr="004840F1" w:rsidRDefault="004840F1" w:rsidP="004840F1">
      <w:pPr>
        <w:spacing w:after="120"/>
        <w:jc w:val="both"/>
      </w:pPr>
      <w:r w:rsidRPr="004840F1">
        <w:t>During a favorable price context when all the project deliverables were being implemented, the pilot project functioned very well in terms of improving the livelihoods of miners. The independent analysis shows that the model has had tangible positive economic and health and safety impacts for artisanal miners and their communities and thus could have significant potential to be replicated elsewhere, although more information is needed to ascertain full impact and cost effectiveness.</w:t>
      </w:r>
      <w:r w:rsidRPr="004840F1">
        <w:rPr>
          <w:b/>
          <w:bCs/>
        </w:rPr>
        <w:t xml:space="preserve"> </w:t>
      </w:r>
      <w:r w:rsidRPr="004840F1">
        <w:t>Crucially, these improvements are the result of a unique partnership approach with each organization bringing something different to the table.</w:t>
      </w:r>
    </w:p>
    <w:p w14:paraId="556B3CE4" w14:textId="40B8200E" w:rsidR="004840F1" w:rsidRPr="004840F1" w:rsidRDefault="004840F1" w:rsidP="004840F1">
      <w:pPr>
        <w:numPr>
          <w:ilvl w:val="0"/>
          <w:numId w:val="3"/>
        </w:numPr>
        <w:spacing w:after="120"/>
        <w:contextualSpacing/>
        <w:jc w:val="both"/>
      </w:pPr>
      <w:r w:rsidRPr="004840F1">
        <w:rPr>
          <w:i/>
          <w:iCs/>
        </w:rPr>
        <w:t>Technical expertise.</w:t>
      </w:r>
      <w:r w:rsidRPr="004840F1">
        <w:t xml:space="preserve"> By working closely with large-scale mining experts from </w:t>
      </w:r>
      <w:proofErr w:type="spellStart"/>
      <w:r w:rsidRPr="004840F1">
        <w:t>Chemaf</w:t>
      </w:r>
      <w:proofErr w:type="spellEnd"/>
      <w:r w:rsidRPr="004840F1">
        <w:t xml:space="preserve">, the pilot project benefited from their extensive experience and continued guidance on identifying and managing safety risks. </w:t>
      </w:r>
      <w:proofErr w:type="spellStart"/>
      <w:r w:rsidRPr="004840F1">
        <w:t>Chemaf</w:t>
      </w:r>
      <w:proofErr w:type="spellEnd"/>
      <w:r w:rsidRPr="004840F1">
        <w:t xml:space="preserve"> also provides some of the resources necessary to manage safety, such as machines to remove waste rock and open the pits to eliminate cave-in risks </w:t>
      </w:r>
      <w:r w:rsidR="00053BEA">
        <w:t>as well as</w:t>
      </w:r>
      <w:r w:rsidR="00053BEA" w:rsidRPr="004840F1">
        <w:t xml:space="preserve"> </w:t>
      </w:r>
      <w:r w:rsidRPr="004840F1">
        <w:t xml:space="preserve">medical professionals. </w:t>
      </w:r>
    </w:p>
    <w:p w14:paraId="0E0BD94A" w14:textId="77777777" w:rsidR="004840F1" w:rsidRPr="004840F1" w:rsidRDefault="004840F1" w:rsidP="004840F1">
      <w:pPr>
        <w:numPr>
          <w:ilvl w:val="0"/>
          <w:numId w:val="3"/>
        </w:numPr>
        <w:spacing w:after="120"/>
        <w:contextualSpacing/>
        <w:jc w:val="both"/>
      </w:pPr>
      <w:r w:rsidRPr="004840F1">
        <w:rPr>
          <w:i/>
          <w:iCs/>
        </w:rPr>
        <w:t>High expectations and cross-sector experience.</w:t>
      </w:r>
      <w:r w:rsidRPr="004840F1">
        <w:t xml:space="preserve"> Trafigura holds the pilot to high standards through their responsible ASM sourcing expectations and audits by </w:t>
      </w:r>
      <w:proofErr w:type="spellStart"/>
      <w:r w:rsidRPr="004840F1">
        <w:t>Kumi</w:t>
      </w:r>
      <w:proofErr w:type="spellEnd"/>
      <w:r w:rsidRPr="004840F1">
        <w:t xml:space="preserve"> Consulting, pushing COMIAKOL, </w:t>
      </w:r>
      <w:proofErr w:type="spellStart"/>
      <w:r w:rsidRPr="004840F1">
        <w:t>Chemaf</w:t>
      </w:r>
      <w:proofErr w:type="spellEnd"/>
      <w:r w:rsidRPr="004840F1">
        <w:t>, Pact and SAEMAPE to improve conditions, mitigate risks and continuously improve. Representatives from the commodities trader also regularly visit the site and participate in bi-weekly management calls where safety risks are discussed, and proactive solutions proposed.</w:t>
      </w:r>
    </w:p>
    <w:p w14:paraId="779B92EB" w14:textId="77777777" w:rsidR="004840F1" w:rsidRPr="004840F1" w:rsidRDefault="004840F1" w:rsidP="004840F1">
      <w:pPr>
        <w:numPr>
          <w:ilvl w:val="0"/>
          <w:numId w:val="3"/>
        </w:numPr>
        <w:spacing w:after="120"/>
        <w:contextualSpacing/>
        <w:jc w:val="both"/>
      </w:pPr>
      <w:r w:rsidRPr="004840F1">
        <w:rPr>
          <w:i/>
          <w:iCs/>
        </w:rPr>
        <w:t>Strong political networks and on-the-ground action.</w:t>
      </w:r>
      <w:r w:rsidRPr="004840F1">
        <w:t xml:space="preserve"> SAEMAPE also provides technical guidance and ground-level monitoring, alongside Pact’s own employees, to train miners and support compliance with </w:t>
      </w:r>
      <w:proofErr w:type="spellStart"/>
      <w:r w:rsidRPr="004840F1">
        <w:t>Chemaf’s</w:t>
      </w:r>
      <w:proofErr w:type="spellEnd"/>
      <w:r w:rsidRPr="004840F1">
        <w:t xml:space="preserve"> regulations and Trafigura’s expectations. The agency also provides a crucial link to regulators, ensuring that communication channels remain open and the project maintains its political license to operate.</w:t>
      </w:r>
    </w:p>
    <w:p w14:paraId="26603390" w14:textId="77777777" w:rsidR="004840F1" w:rsidRPr="004840F1" w:rsidRDefault="004840F1" w:rsidP="004840F1">
      <w:pPr>
        <w:numPr>
          <w:ilvl w:val="0"/>
          <w:numId w:val="3"/>
        </w:numPr>
        <w:spacing w:after="120"/>
        <w:contextualSpacing/>
        <w:jc w:val="both"/>
        <w:rPr>
          <w:b/>
          <w:bCs/>
        </w:rPr>
      </w:pPr>
      <w:r w:rsidRPr="004840F1">
        <w:rPr>
          <w:i/>
          <w:iCs/>
        </w:rPr>
        <w:t>Commitment to zero harm.</w:t>
      </w:r>
      <w:r w:rsidRPr="004840F1">
        <w:t xml:space="preserve"> Finally, COMIAKOL has integrated a zero-harm approach into every aspect of its business, prioritizing safety training and practical management across its operations. From mineral diggers and washers to transporters and businesspersons, every member of the cooperative undergoes a safety induction and is subject to the site’s regulations.</w:t>
      </w:r>
    </w:p>
    <w:p w14:paraId="53A6EE42" w14:textId="77777777" w:rsidR="004840F1" w:rsidRPr="004840F1" w:rsidRDefault="004840F1" w:rsidP="004840F1">
      <w:pPr>
        <w:keepNext/>
        <w:keepLines/>
        <w:numPr>
          <w:ilvl w:val="1"/>
          <w:numId w:val="0"/>
        </w:numPr>
        <w:spacing w:before="40" w:after="0"/>
        <w:ind w:left="576" w:hanging="576"/>
        <w:jc w:val="both"/>
        <w:outlineLvl w:val="1"/>
        <w:rPr>
          <w:rFonts w:asciiTheme="majorHAnsi" w:eastAsiaTheme="majorEastAsia" w:hAnsiTheme="majorHAnsi" w:cstheme="majorBidi"/>
          <w:color w:val="2F5496" w:themeColor="accent1" w:themeShade="BF"/>
          <w:sz w:val="26"/>
          <w:szCs w:val="26"/>
        </w:rPr>
      </w:pPr>
      <w:r w:rsidRPr="004840F1">
        <w:rPr>
          <w:rFonts w:asciiTheme="majorHAnsi" w:eastAsiaTheme="majorEastAsia" w:hAnsiTheme="majorHAnsi" w:cstheme="majorBidi"/>
          <w:bCs/>
          <w:color w:val="2F5496" w:themeColor="accent1" w:themeShade="BF"/>
          <w:sz w:val="26"/>
          <w:szCs w:val="26"/>
        </w:rPr>
        <w:t>Acknowledgments</w:t>
      </w:r>
    </w:p>
    <w:p w14:paraId="460F36BD" w14:textId="77777777" w:rsidR="004840F1" w:rsidRPr="004840F1" w:rsidRDefault="004840F1" w:rsidP="004840F1">
      <w:pPr>
        <w:spacing w:after="120"/>
        <w:jc w:val="both"/>
      </w:pPr>
      <w:r w:rsidRPr="004840F1">
        <w:t xml:space="preserve">The independent socio-economic impact report was commissioned by the Trafigura Group using research conducted and analyzed by Sara Johansson de Silva, </w:t>
      </w:r>
      <w:proofErr w:type="spellStart"/>
      <w:r w:rsidRPr="004840F1">
        <w:t>Tove</w:t>
      </w:r>
      <w:proofErr w:type="spellEnd"/>
      <w:r w:rsidRPr="004840F1">
        <w:t xml:space="preserve"> Strauss, and Nene </w:t>
      </w:r>
      <w:proofErr w:type="spellStart"/>
      <w:r w:rsidRPr="004840F1">
        <w:t>Morisho</w:t>
      </w:r>
      <w:proofErr w:type="spellEnd"/>
      <w:r w:rsidRPr="004840F1">
        <w:t xml:space="preserve"> that was summarized </w:t>
      </w:r>
      <w:r w:rsidRPr="004840F1">
        <w:lastRenderedPageBreak/>
        <w:t xml:space="preserve">by Stephanie </w:t>
      </w:r>
      <w:proofErr w:type="spellStart"/>
      <w:r w:rsidRPr="004840F1">
        <w:t>Shumsky</w:t>
      </w:r>
      <w:proofErr w:type="spellEnd"/>
      <w:r w:rsidRPr="004840F1">
        <w:t xml:space="preserve"> of Pact in some sections of this case study. The findings and recommendations represent the views of the author and should not be attributed to the Trafigura Group.</w:t>
      </w:r>
      <w:bookmarkEnd w:id="0"/>
    </w:p>
    <w:sectPr w:rsidR="004840F1" w:rsidRPr="004840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98F8" w14:textId="77777777" w:rsidR="007F4B61" w:rsidRDefault="007F4B61" w:rsidP="004840F1">
      <w:pPr>
        <w:spacing w:after="0" w:line="240" w:lineRule="auto"/>
      </w:pPr>
      <w:r>
        <w:separator/>
      </w:r>
    </w:p>
  </w:endnote>
  <w:endnote w:type="continuationSeparator" w:id="0">
    <w:p w14:paraId="550200D4" w14:textId="77777777" w:rsidR="007F4B61" w:rsidRDefault="007F4B61" w:rsidP="004840F1">
      <w:pPr>
        <w:spacing w:after="0" w:line="240" w:lineRule="auto"/>
      </w:pPr>
      <w:r>
        <w:continuationSeparator/>
      </w:r>
    </w:p>
  </w:endnote>
  <w:endnote w:id="1">
    <w:p w14:paraId="4D0452DF" w14:textId="77777777" w:rsidR="004840F1" w:rsidRPr="001B67EF" w:rsidRDefault="004840F1" w:rsidP="004840F1">
      <w:pPr>
        <w:pStyle w:val="EndnoteText"/>
        <w:rPr>
          <w:sz w:val="16"/>
          <w:szCs w:val="16"/>
          <w:lang w:val="en-GB"/>
        </w:rPr>
      </w:pPr>
      <w:r w:rsidRPr="001B67EF">
        <w:rPr>
          <w:rStyle w:val="EndnoteReference"/>
          <w:sz w:val="16"/>
          <w:szCs w:val="16"/>
        </w:rPr>
        <w:endnoteRef/>
      </w:r>
      <w:r w:rsidRPr="001B67EF">
        <w:rPr>
          <w:sz w:val="16"/>
          <w:szCs w:val="16"/>
        </w:rPr>
        <w:t xml:space="preserve"> Translated as the ‘Assistance and Management Service for Artisanal and Small Scale Mines’ in English, SAEMAPE a technical service of the National Ministry of Mines and is mandated to support artisanal miners by providing information, resources, training and technical assistance. </w:t>
      </w:r>
    </w:p>
  </w:endnote>
  <w:endnote w:id="2">
    <w:p w14:paraId="39EC0749" w14:textId="77777777" w:rsidR="004840F1" w:rsidRPr="001922BA" w:rsidRDefault="004840F1" w:rsidP="004840F1">
      <w:pPr>
        <w:pStyle w:val="EndnoteText"/>
        <w:rPr>
          <w:rFonts w:ascii="Calibri" w:hAnsi="Calibri" w:cs="Calibri"/>
          <w:sz w:val="16"/>
          <w:szCs w:val="16"/>
          <w:lang w:val="en-GB"/>
        </w:rPr>
      </w:pPr>
      <w:r w:rsidRPr="001922BA">
        <w:rPr>
          <w:rStyle w:val="EndnoteReference"/>
          <w:rFonts w:ascii="Calibri" w:hAnsi="Calibri" w:cs="Calibri"/>
          <w:sz w:val="16"/>
          <w:szCs w:val="16"/>
        </w:rPr>
        <w:endnoteRef/>
      </w:r>
      <w:r w:rsidRPr="001922BA">
        <w:rPr>
          <w:rFonts w:ascii="Calibri" w:hAnsi="Calibri" w:cs="Calibri"/>
          <w:sz w:val="16"/>
          <w:szCs w:val="16"/>
        </w:rPr>
        <w:t xml:space="preserve"> </w:t>
      </w:r>
      <w:r w:rsidRPr="001922BA">
        <w:rPr>
          <w:rFonts w:ascii="Calibri" w:hAnsi="Calibri" w:cs="Calibri"/>
          <w:sz w:val="16"/>
          <w:szCs w:val="16"/>
          <w:lang w:val="en-GB"/>
        </w:rPr>
        <w:t xml:space="preserve">London Metal Exchange </w:t>
      </w:r>
      <w:r>
        <w:rPr>
          <w:rFonts w:ascii="Calibri" w:hAnsi="Calibri" w:cs="Calibri"/>
          <w:sz w:val="16"/>
          <w:szCs w:val="16"/>
          <w:lang w:val="en-GB"/>
        </w:rPr>
        <w:t xml:space="preserve">cobalt </w:t>
      </w:r>
      <w:r w:rsidRPr="001922BA">
        <w:rPr>
          <w:rFonts w:ascii="Calibri" w:hAnsi="Calibri" w:cs="Calibri"/>
          <w:sz w:val="16"/>
          <w:szCs w:val="16"/>
          <w:lang w:val="en-GB"/>
        </w:rPr>
        <w:t xml:space="preserve">prices crashed from </w:t>
      </w:r>
      <w:r>
        <w:rPr>
          <w:rFonts w:ascii="Calibri" w:hAnsi="Calibri" w:cs="Calibri"/>
          <w:sz w:val="16"/>
          <w:szCs w:val="16"/>
          <w:lang w:val="en-GB"/>
        </w:rPr>
        <w:t xml:space="preserve">an all-time high of </w:t>
      </w:r>
      <w:r w:rsidRPr="001922BA">
        <w:rPr>
          <w:rFonts w:ascii="Calibri" w:hAnsi="Calibri" w:cs="Calibri"/>
          <w:sz w:val="16"/>
          <w:szCs w:val="16"/>
          <w:lang w:val="en-GB"/>
        </w:rPr>
        <w:t>US$</w:t>
      </w:r>
      <w:r>
        <w:rPr>
          <w:rFonts w:ascii="Calibri" w:hAnsi="Calibri" w:cs="Calibri"/>
          <w:sz w:val="16"/>
          <w:szCs w:val="16"/>
          <w:lang w:val="en-GB"/>
        </w:rPr>
        <w:t>9</w:t>
      </w:r>
      <w:r w:rsidRPr="001922BA">
        <w:rPr>
          <w:rFonts w:ascii="Calibri" w:hAnsi="Calibri" w:cs="Calibri"/>
          <w:sz w:val="16"/>
          <w:szCs w:val="16"/>
          <w:lang w:val="en-GB"/>
        </w:rPr>
        <w:t xml:space="preserve">0,000 per ton </w:t>
      </w:r>
      <w:r>
        <w:rPr>
          <w:rFonts w:ascii="Calibri" w:hAnsi="Calibri" w:cs="Calibri"/>
          <w:sz w:val="16"/>
          <w:szCs w:val="16"/>
          <w:lang w:val="en-GB"/>
        </w:rPr>
        <w:t xml:space="preserve">in early 2018 to below US$30,000 in mid-2019 and remained at this lower level, slumping again to US$28,500 in June 2020 due in part to oversupply from ASM and industrial mining in DRC and a surplus of cobalt chemicals (Desai, 2019; </w:t>
      </w:r>
      <w:r w:rsidRPr="006275F3">
        <w:rPr>
          <w:rFonts w:ascii="Calibri" w:hAnsi="Calibri" w:cs="Calibri"/>
          <w:sz w:val="16"/>
          <w:szCs w:val="16"/>
          <w:lang w:val="en-GB"/>
        </w:rPr>
        <w:t>Johansson de Silva, Strauss, Morisho, 2019;</w:t>
      </w:r>
      <w:r>
        <w:t xml:space="preserve"> </w:t>
      </w:r>
      <w:r>
        <w:rPr>
          <w:rFonts w:ascii="Calibri" w:hAnsi="Calibri" w:cs="Calibri"/>
          <w:sz w:val="16"/>
          <w:szCs w:val="16"/>
          <w:lang w:val="en-GB"/>
        </w:rPr>
        <w:t xml:space="preserve">LME, 2020). </w:t>
      </w:r>
    </w:p>
  </w:endnote>
  <w:endnote w:id="3">
    <w:p w14:paraId="2EE03FEE" w14:textId="77777777" w:rsidR="004840F1" w:rsidRPr="00892E34" w:rsidRDefault="004840F1" w:rsidP="004840F1">
      <w:pPr>
        <w:pStyle w:val="EndnoteText"/>
        <w:rPr>
          <w:rFonts w:cstheme="minorHAnsi"/>
          <w:sz w:val="16"/>
          <w:szCs w:val="16"/>
        </w:rPr>
      </w:pPr>
      <w:r w:rsidRPr="001922BA">
        <w:rPr>
          <w:rStyle w:val="EndnoteReference"/>
          <w:rFonts w:ascii="Calibri" w:hAnsi="Calibri" w:cs="Calibri"/>
          <w:sz w:val="16"/>
          <w:szCs w:val="16"/>
        </w:rPr>
        <w:endnoteRef/>
      </w:r>
      <w:r w:rsidRPr="001922BA">
        <w:rPr>
          <w:rFonts w:ascii="Calibri" w:hAnsi="Calibri" w:cs="Calibri"/>
          <w:sz w:val="16"/>
          <w:szCs w:val="16"/>
        </w:rPr>
        <w:t xml:space="preserve"> </w:t>
      </w:r>
      <w:r w:rsidRPr="001922BA">
        <w:rPr>
          <w:rFonts w:ascii="Calibri" w:eastAsia="Times New Roman" w:hAnsi="Calibri" w:cs="Calibri"/>
          <w:sz w:val="16"/>
          <w:szCs w:val="16"/>
        </w:rPr>
        <w:t>The additional local spending attributable to the project is measured as the difference in local spending between the project group and the comparator group.</w:t>
      </w:r>
    </w:p>
  </w:endnote>
  <w:endnote w:id="4">
    <w:p w14:paraId="6C016114" w14:textId="77777777" w:rsidR="004840F1" w:rsidRPr="00892E34" w:rsidRDefault="004840F1" w:rsidP="004840F1">
      <w:pPr>
        <w:autoSpaceDE w:val="0"/>
        <w:autoSpaceDN w:val="0"/>
        <w:adjustRightInd w:val="0"/>
        <w:spacing w:after="0"/>
        <w:rPr>
          <w:rFonts w:cstheme="minorHAnsi"/>
          <w:sz w:val="16"/>
          <w:szCs w:val="16"/>
        </w:rPr>
      </w:pPr>
      <w:r w:rsidRPr="00892E34">
        <w:rPr>
          <w:rStyle w:val="EndnoteReference"/>
          <w:rFonts w:cstheme="minorHAnsi"/>
          <w:sz w:val="16"/>
          <w:szCs w:val="16"/>
        </w:rPr>
        <w:endnoteRef/>
      </w:r>
      <w:r w:rsidRPr="00892E34">
        <w:rPr>
          <w:rFonts w:cstheme="minorHAnsi"/>
          <w:sz w:val="16"/>
          <w:szCs w:val="16"/>
        </w:rPr>
        <w:t xml:space="preserve"> On average, the miners in the </w:t>
      </w:r>
      <w:r>
        <w:rPr>
          <w:rFonts w:cstheme="minorHAnsi"/>
          <w:sz w:val="16"/>
          <w:szCs w:val="16"/>
        </w:rPr>
        <w:t>pilot project g</w:t>
      </w:r>
      <w:r w:rsidRPr="00892E34">
        <w:rPr>
          <w:rFonts w:cstheme="minorHAnsi"/>
          <w:sz w:val="16"/>
          <w:szCs w:val="16"/>
        </w:rPr>
        <w:t xml:space="preserve">roup estimated they were absent about four days while the Comparator Group were absent more than twice that number. It is also noteworthy that women in the </w:t>
      </w:r>
      <w:r>
        <w:rPr>
          <w:rFonts w:cstheme="minorHAnsi"/>
          <w:sz w:val="16"/>
          <w:szCs w:val="16"/>
        </w:rPr>
        <w:t>c</w:t>
      </w:r>
      <w:r w:rsidRPr="00892E34">
        <w:rPr>
          <w:rFonts w:cstheme="minorHAnsi"/>
          <w:sz w:val="16"/>
          <w:szCs w:val="16"/>
        </w:rPr>
        <w:t xml:space="preserve">omparator </w:t>
      </w:r>
      <w:r>
        <w:rPr>
          <w:rFonts w:cstheme="minorHAnsi"/>
          <w:sz w:val="16"/>
          <w:szCs w:val="16"/>
        </w:rPr>
        <w:t>g</w:t>
      </w:r>
      <w:r w:rsidRPr="00892E34">
        <w:rPr>
          <w:rFonts w:cstheme="minorHAnsi"/>
          <w:sz w:val="16"/>
          <w:szCs w:val="16"/>
        </w:rPr>
        <w:t xml:space="preserve">roup were absent almost three times more than the women in the </w:t>
      </w:r>
      <w:r>
        <w:rPr>
          <w:rFonts w:cstheme="minorHAnsi"/>
          <w:sz w:val="16"/>
          <w:szCs w:val="16"/>
        </w:rPr>
        <w:t>p</w:t>
      </w:r>
      <w:r w:rsidRPr="00892E34">
        <w:rPr>
          <w:rFonts w:cstheme="minorHAnsi"/>
          <w:sz w:val="16"/>
          <w:szCs w:val="16"/>
        </w:rPr>
        <w:t xml:space="preserve">roject </w:t>
      </w:r>
      <w:r>
        <w:rPr>
          <w:rFonts w:cstheme="minorHAnsi"/>
          <w:sz w:val="16"/>
          <w:szCs w:val="16"/>
        </w:rPr>
        <w:t>g</w:t>
      </w:r>
      <w:r w:rsidRPr="00892E34">
        <w:rPr>
          <w:rFonts w:cstheme="minorHAnsi"/>
          <w:sz w:val="16"/>
          <w:szCs w:val="16"/>
        </w:rPr>
        <w:t>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6002" w14:textId="77777777" w:rsidR="007F4B61" w:rsidRDefault="007F4B61" w:rsidP="004840F1">
      <w:pPr>
        <w:spacing w:after="0" w:line="240" w:lineRule="auto"/>
      </w:pPr>
      <w:r>
        <w:separator/>
      </w:r>
    </w:p>
  </w:footnote>
  <w:footnote w:type="continuationSeparator" w:id="0">
    <w:p w14:paraId="492B3EE4" w14:textId="77777777" w:rsidR="007F4B61" w:rsidRDefault="007F4B61" w:rsidP="0048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40DAB"/>
    <w:multiLevelType w:val="hybridMultilevel"/>
    <w:tmpl w:val="0736E238"/>
    <w:lvl w:ilvl="0" w:tplc="730897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80C9F"/>
    <w:multiLevelType w:val="hybridMultilevel"/>
    <w:tmpl w:val="DC6A6F84"/>
    <w:lvl w:ilvl="0" w:tplc="730897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72317"/>
    <w:multiLevelType w:val="hybridMultilevel"/>
    <w:tmpl w:val="C2A6E3A0"/>
    <w:lvl w:ilvl="0" w:tplc="730897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F1"/>
    <w:rsid w:val="00053BEA"/>
    <w:rsid w:val="000E3F4B"/>
    <w:rsid w:val="004840F1"/>
    <w:rsid w:val="004E3308"/>
    <w:rsid w:val="007F4B61"/>
    <w:rsid w:val="008D1965"/>
    <w:rsid w:val="00915720"/>
    <w:rsid w:val="00986D2E"/>
    <w:rsid w:val="00A965D0"/>
    <w:rsid w:val="00B57819"/>
    <w:rsid w:val="00D510BC"/>
    <w:rsid w:val="00D932F7"/>
    <w:rsid w:val="00DA6979"/>
    <w:rsid w:val="00DC08F5"/>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A9D"/>
  <w15:chartTrackingRefBased/>
  <w15:docId w15:val="{8EFAD2AC-A616-4C40-9C20-29D0F187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840F1"/>
    <w:pPr>
      <w:spacing w:line="240" w:lineRule="auto"/>
    </w:pPr>
    <w:rPr>
      <w:sz w:val="20"/>
      <w:szCs w:val="20"/>
    </w:rPr>
  </w:style>
  <w:style w:type="character" w:customStyle="1" w:styleId="CommentTextChar">
    <w:name w:val="Comment Text Char"/>
    <w:basedOn w:val="DefaultParagraphFont"/>
    <w:link w:val="CommentText"/>
    <w:uiPriority w:val="99"/>
    <w:semiHidden/>
    <w:rsid w:val="004840F1"/>
    <w:rPr>
      <w:sz w:val="20"/>
      <w:szCs w:val="20"/>
    </w:rPr>
  </w:style>
  <w:style w:type="table" w:styleId="TableGrid">
    <w:name w:val="Table Grid"/>
    <w:basedOn w:val="TableNormal"/>
    <w:uiPriority w:val="39"/>
    <w:rsid w:val="0048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40F1"/>
    <w:rPr>
      <w:sz w:val="16"/>
      <w:szCs w:val="16"/>
    </w:rPr>
  </w:style>
  <w:style w:type="paragraph" w:styleId="EndnoteText">
    <w:name w:val="endnote text"/>
    <w:basedOn w:val="Normal"/>
    <w:link w:val="EndnoteTextChar"/>
    <w:uiPriority w:val="99"/>
    <w:semiHidden/>
    <w:unhideWhenUsed/>
    <w:rsid w:val="004840F1"/>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rsid w:val="004840F1"/>
    <w:rPr>
      <w:sz w:val="20"/>
      <w:szCs w:val="20"/>
    </w:rPr>
  </w:style>
  <w:style w:type="character" w:styleId="EndnoteReference">
    <w:name w:val="endnote reference"/>
    <w:basedOn w:val="DefaultParagraphFont"/>
    <w:uiPriority w:val="99"/>
    <w:semiHidden/>
    <w:unhideWhenUsed/>
    <w:rsid w:val="004840F1"/>
    <w:rPr>
      <w:vertAlign w:val="superscript"/>
    </w:rPr>
  </w:style>
  <w:style w:type="paragraph" w:styleId="BalloonText">
    <w:name w:val="Balloon Text"/>
    <w:basedOn w:val="Normal"/>
    <w:link w:val="BalloonTextChar"/>
    <w:uiPriority w:val="99"/>
    <w:semiHidden/>
    <w:unhideWhenUsed/>
    <w:rsid w:val="0048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2434"/>
    <w:rPr>
      <w:b/>
      <w:bCs/>
    </w:rPr>
  </w:style>
  <w:style w:type="character" w:customStyle="1" w:styleId="CommentSubjectChar">
    <w:name w:val="Comment Subject Char"/>
    <w:basedOn w:val="CommentTextChar"/>
    <w:link w:val="CommentSubject"/>
    <w:uiPriority w:val="99"/>
    <w:semiHidden/>
    <w:rsid w:val="00FF2434"/>
    <w:rPr>
      <w:b/>
      <w:bCs/>
      <w:sz w:val="20"/>
      <w:szCs w:val="20"/>
    </w:rPr>
  </w:style>
  <w:style w:type="character" w:styleId="Hyperlink">
    <w:name w:val="Hyperlink"/>
    <w:basedOn w:val="DefaultParagraphFont"/>
    <w:uiPriority w:val="99"/>
    <w:unhideWhenUsed/>
    <w:rsid w:val="008D1965"/>
    <w:rPr>
      <w:color w:val="0563C1" w:themeColor="hyperlink"/>
      <w:u w:val="single"/>
    </w:rPr>
  </w:style>
  <w:style w:type="character" w:customStyle="1" w:styleId="UnresolvedMention1">
    <w:name w:val="Unresolved Mention1"/>
    <w:basedOn w:val="DefaultParagraphFont"/>
    <w:uiPriority w:val="99"/>
    <w:semiHidden/>
    <w:unhideWhenUsed/>
    <w:rsid w:val="008D1965"/>
    <w:rPr>
      <w:color w:val="605E5C"/>
      <w:shd w:val="clear" w:color="auto" w:fill="E1DFDD"/>
    </w:rPr>
  </w:style>
  <w:style w:type="paragraph" w:styleId="Header">
    <w:name w:val="header"/>
    <w:basedOn w:val="Normal"/>
    <w:link w:val="HeaderChar"/>
    <w:uiPriority w:val="99"/>
    <w:unhideWhenUsed/>
    <w:rsid w:val="00DA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79"/>
  </w:style>
  <w:style w:type="paragraph" w:styleId="Footer">
    <w:name w:val="footer"/>
    <w:basedOn w:val="Normal"/>
    <w:link w:val="FooterChar"/>
    <w:uiPriority w:val="99"/>
    <w:unhideWhenUsed/>
    <w:rsid w:val="00DA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496ab6f-82d7-47fa-ba56-55fc2c510ab4" origin="userSelected"/>
</file>

<file path=customXml/itemProps1.xml><?xml version="1.0" encoding="utf-8"?>
<ds:datastoreItem xmlns:ds="http://schemas.openxmlformats.org/officeDocument/2006/customXml" ds:itemID="{48CFAF61-D651-4679-BAE2-4E98D22FDE9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McQuilken</dc:creator>
  <cp:keywords/>
  <dc:description/>
  <cp:lastModifiedBy>Barbara</cp:lastModifiedBy>
  <cp:revision>2</cp:revision>
  <dcterms:created xsi:type="dcterms:W3CDTF">2020-07-07T17:32:00Z</dcterms:created>
  <dcterms:modified xsi:type="dcterms:W3CDTF">2020-07-07T17:32:00Z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dc59bde3-44cd-466e-898a-d5df53f52671</vt:lpwstr>
  </property>
  <property fmtid="{D5CDD505-2E9C-101B-9397-08002B2CF9AE}" pid="3" name="bjSaver">
    <vt:lpwstr>IM0vC2H2IZiJ4cdHugZmH7f5REyrCCGH</vt:lpwstr>
  </property>
  <property fmtid="{D5CDD505-2E9C-101B-9397-08002B2CF9AE}" pid="4" name="bjDocumentSecurityLabel">
    <vt:lpwstr>No Marking</vt:lpwstr>
  </property>
</Properties>
</file>