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F9E" w:rsidRDefault="00AB3F9E" w:rsidP="00AB3F9E">
      <w:pPr>
        <w:shd w:val="clear" w:color="auto" w:fill="FFFFFF"/>
        <w:spacing w:line="320" w:lineRule="atLeast"/>
        <w:textAlignment w:val="baseline"/>
        <w:rPr>
          <w:rFonts w:ascii="Helvetica" w:hAnsi="Helvetica"/>
          <w:color w:val="4D4F51"/>
        </w:rPr>
      </w:pPr>
      <w:r>
        <w:rPr>
          <w:rFonts w:ascii="Helvetica" w:hAnsi="Helvetica"/>
          <w:color w:val="4D4F5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Four Types of Boards" style="width:24pt;height:24pt"/>
        </w:pict>
      </w:r>
    </w:p>
    <w:p w:rsidR="00AB3F9E" w:rsidRDefault="00AB3F9E" w:rsidP="00AB3F9E">
      <w:pPr>
        <w:shd w:val="clear" w:color="auto" w:fill="FFFFFF"/>
        <w:spacing w:line="320" w:lineRule="atLeast"/>
        <w:jc w:val="center"/>
        <w:textAlignment w:val="baseline"/>
        <w:rPr>
          <w:rFonts w:ascii="Helvetica" w:hAnsi="Helvetica"/>
          <w:color w:val="4D4F51"/>
        </w:rPr>
      </w:pPr>
      <w:r>
        <w:rPr>
          <w:rFonts w:ascii="inherit" w:hAnsi="inherit"/>
          <w:noProof/>
          <w:color w:val="96999C"/>
          <w:bdr w:val="none" w:sz="0" w:space="0" w:color="auto" w:frame="1"/>
          <w:shd w:val="clear" w:color="auto" w:fill="EEEEEE"/>
          <w:lang w:eastAsia="en-GB"/>
        </w:rPr>
        <w:drawing>
          <wp:inline distT="0" distB="0" distL="0" distR="0">
            <wp:extent cx="952500" cy="952500"/>
            <wp:effectExtent l="19050" t="0" r="0" b="0"/>
            <wp:docPr id="2" name="Picture 2" descr="Johanne Bouchard">
              <a:hlinkClick xmlns:a="http://schemas.openxmlformats.org/drawingml/2006/main" r:id="rId5" tooltip="&quot;Johanne Boucha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anne Bouchard">
                      <a:hlinkClick r:id="rId5" tooltip="&quot;Johanne Bouchard&quot;"/>
                    </pic:cNvPr>
                    <pic:cNvPicPr>
                      <a:picLocks noChangeAspect="1" noChangeArrowheads="1"/>
                    </pic:cNvPicPr>
                  </pic:nvPicPr>
                  <pic:blipFill>
                    <a:blip r:embed="rId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AB3F9E" w:rsidRDefault="00AB3F9E" w:rsidP="00AB3F9E">
      <w:pPr>
        <w:pStyle w:val="Heading2"/>
        <w:shd w:val="clear" w:color="auto" w:fill="FFFFFF"/>
        <w:spacing w:before="0" w:line="300" w:lineRule="atLeast"/>
        <w:jc w:val="center"/>
        <w:textAlignment w:val="baseline"/>
        <w:rPr>
          <w:rFonts w:ascii="inherit" w:hAnsi="inherit"/>
          <w:b w:val="0"/>
          <w:bCs w:val="0"/>
          <w:color w:val="4D4F51"/>
          <w:sz w:val="24"/>
          <w:szCs w:val="24"/>
        </w:rPr>
      </w:pPr>
      <w:hyperlink r:id="rId7" w:tooltip="Johanne Bouchard" w:history="1">
        <w:proofErr w:type="spellStart"/>
        <w:r>
          <w:rPr>
            <w:rStyle w:val="Hyperlink"/>
            <w:rFonts w:ascii="inherit" w:hAnsi="inherit"/>
            <w:b w:val="0"/>
            <w:bCs w:val="0"/>
            <w:color w:val="333333"/>
            <w:sz w:val="24"/>
            <w:szCs w:val="24"/>
            <w:bdr w:val="none" w:sz="0" w:space="0" w:color="auto" w:frame="1"/>
          </w:rPr>
          <w:t>Johanne</w:t>
        </w:r>
        <w:proofErr w:type="spellEnd"/>
        <w:r>
          <w:rPr>
            <w:rStyle w:val="Hyperlink"/>
            <w:rFonts w:ascii="inherit" w:hAnsi="inherit"/>
            <w:b w:val="0"/>
            <w:bCs w:val="0"/>
            <w:color w:val="333333"/>
            <w:sz w:val="24"/>
            <w:szCs w:val="24"/>
            <w:bdr w:val="none" w:sz="0" w:space="0" w:color="auto" w:frame="1"/>
          </w:rPr>
          <w:t xml:space="preserve"> Bouchard</w:t>
        </w:r>
      </w:hyperlink>
    </w:p>
    <w:p w:rsidR="00AB3F9E" w:rsidRDefault="00AB3F9E" w:rsidP="00AB3F9E">
      <w:pPr>
        <w:pStyle w:val="subtitle"/>
        <w:shd w:val="clear" w:color="auto" w:fill="FFFFFF"/>
        <w:spacing w:before="0" w:beforeAutospacing="0" w:after="0" w:afterAutospacing="0" w:line="255" w:lineRule="atLeast"/>
        <w:jc w:val="center"/>
        <w:textAlignment w:val="baseline"/>
        <w:rPr>
          <w:rFonts w:ascii="inherit" w:hAnsi="inherit"/>
          <w:color w:val="8B8B8B"/>
          <w:sz w:val="20"/>
          <w:szCs w:val="20"/>
        </w:rPr>
      </w:pPr>
      <w:r>
        <w:rPr>
          <w:rFonts w:ascii="inherit" w:hAnsi="inherit"/>
          <w:color w:val="8B8B8B"/>
          <w:sz w:val="20"/>
          <w:szCs w:val="20"/>
        </w:rPr>
        <w:t>Leadership Advisor and Strategist for Boards, CEOs &amp; Executives; Board Composition/Board</w:t>
      </w:r>
      <w:r>
        <w:rPr>
          <w:rStyle w:val="apple-converted-space"/>
          <w:rFonts w:ascii="inherit" w:hAnsi="inherit"/>
          <w:color w:val="8B8B8B"/>
          <w:sz w:val="20"/>
          <w:szCs w:val="20"/>
        </w:rPr>
        <w:t> </w:t>
      </w:r>
    </w:p>
    <w:p w:rsidR="00AB3F9E" w:rsidRDefault="00AB3F9E" w:rsidP="00AB3F9E">
      <w:pPr>
        <w:shd w:val="clear" w:color="auto" w:fill="FFFFFF"/>
        <w:spacing w:line="600" w:lineRule="atLeast"/>
        <w:jc w:val="center"/>
        <w:textAlignment w:val="baseline"/>
        <w:outlineLvl w:val="0"/>
        <w:rPr>
          <w:rFonts w:ascii="Helvetica" w:eastAsia="Times New Roman" w:hAnsi="Helvetica"/>
          <w:color w:val="333333"/>
          <w:kern w:val="36"/>
          <w:sz w:val="54"/>
          <w:szCs w:val="54"/>
          <w:lang w:eastAsia="en-GB"/>
        </w:rPr>
      </w:pPr>
    </w:p>
    <w:p w:rsidR="00AB3F9E" w:rsidRDefault="00AB3F9E" w:rsidP="00AB3F9E">
      <w:pPr>
        <w:shd w:val="clear" w:color="auto" w:fill="FFFFFF"/>
        <w:spacing w:line="600" w:lineRule="atLeast"/>
        <w:jc w:val="center"/>
        <w:textAlignment w:val="baseline"/>
        <w:outlineLvl w:val="0"/>
        <w:rPr>
          <w:rFonts w:ascii="Helvetica" w:eastAsia="Times New Roman" w:hAnsi="Helvetica"/>
          <w:color w:val="333333"/>
          <w:kern w:val="36"/>
          <w:sz w:val="54"/>
          <w:szCs w:val="54"/>
          <w:lang w:eastAsia="en-GB"/>
        </w:rPr>
      </w:pPr>
    </w:p>
    <w:p w:rsidR="00AB3F9E" w:rsidRPr="00AB3F9E" w:rsidRDefault="00AB3F9E" w:rsidP="00AB3F9E">
      <w:pPr>
        <w:shd w:val="clear" w:color="auto" w:fill="FFFFFF"/>
        <w:spacing w:line="600" w:lineRule="atLeast"/>
        <w:jc w:val="center"/>
        <w:textAlignment w:val="baseline"/>
        <w:outlineLvl w:val="0"/>
        <w:rPr>
          <w:rFonts w:ascii="Helvetica" w:eastAsia="Times New Roman" w:hAnsi="Helvetica"/>
          <w:color w:val="333333"/>
          <w:kern w:val="36"/>
          <w:sz w:val="54"/>
          <w:szCs w:val="54"/>
          <w:lang w:eastAsia="en-GB"/>
        </w:rPr>
      </w:pPr>
      <w:r w:rsidRPr="00AB3F9E">
        <w:rPr>
          <w:rFonts w:ascii="Helvetica" w:eastAsia="Times New Roman" w:hAnsi="Helvetica"/>
          <w:color w:val="333333"/>
          <w:kern w:val="36"/>
          <w:sz w:val="54"/>
          <w:szCs w:val="54"/>
          <w:lang w:eastAsia="en-GB"/>
        </w:rPr>
        <w:t>The Four Types of Boards</w:t>
      </w:r>
    </w:p>
    <w:p w:rsidR="00AB3F9E" w:rsidRPr="00AB3F9E" w:rsidRDefault="00AB3F9E" w:rsidP="00AB3F9E">
      <w:pPr>
        <w:shd w:val="clear" w:color="auto" w:fill="FFFFFF"/>
        <w:spacing w:line="270" w:lineRule="atLeast"/>
        <w:jc w:val="center"/>
        <w:textAlignment w:val="center"/>
        <w:rPr>
          <w:rFonts w:ascii="inherit" w:eastAsia="Times New Roman" w:hAnsi="inherit"/>
          <w:color w:val="BDBDBD"/>
          <w:sz w:val="21"/>
          <w:szCs w:val="21"/>
          <w:lang w:eastAsia="en-GB"/>
        </w:rPr>
      </w:pPr>
      <w:r w:rsidRPr="00AB3F9E">
        <w:rPr>
          <w:rFonts w:ascii="inherit" w:eastAsia="Times New Roman" w:hAnsi="inherit"/>
          <w:color w:val="BDBDBD"/>
          <w:sz w:val="21"/>
          <w:szCs w:val="21"/>
          <w:lang w:eastAsia="en-GB"/>
        </w:rPr>
        <w:t>May 1, 2015</w:t>
      </w:r>
    </w:p>
    <w:p w:rsidR="00AB3F9E" w:rsidRPr="00AB3F9E" w:rsidRDefault="00AB3F9E" w:rsidP="00AB3F9E">
      <w:pPr>
        <w:numPr>
          <w:ilvl w:val="0"/>
          <w:numId w:val="1"/>
        </w:numPr>
        <w:shd w:val="clear" w:color="auto" w:fill="FFFFFF"/>
        <w:spacing w:line="270" w:lineRule="atLeast"/>
        <w:ind w:left="300" w:right="300"/>
        <w:jc w:val="center"/>
        <w:textAlignment w:val="center"/>
        <w:rPr>
          <w:rFonts w:ascii="inherit" w:eastAsia="Times New Roman" w:hAnsi="inherit"/>
          <w:color w:val="4D4F51"/>
          <w:sz w:val="21"/>
          <w:szCs w:val="21"/>
          <w:lang w:eastAsia="en-GB"/>
        </w:rPr>
      </w:pPr>
      <w:r w:rsidRPr="00AB3F9E">
        <w:rPr>
          <w:rFonts w:ascii="inherit" w:eastAsia="Times New Roman" w:hAnsi="inherit"/>
          <w:color w:val="4D4F51"/>
          <w:sz w:val="21"/>
          <w:lang w:eastAsia="en-GB"/>
        </w:rPr>
        <w:t>163Views</w:t>
      </w:r>
    </w:p>
    <w:p w:rsidR="00AB3F9E" w:rsidRPr="00AB3F9E" w:rsidRDefault="00AB3F9E" w:rsidP="00AB3F9E">
      <w:pPr>
        <w:numPr>
          <w:ilvl w:val="0"/>
          <w:numId w:val="1"/>
        </w:numPr>
        <w:shd w:val="clear" w:color="auto" w:fill="FFFFFF"/>
        <w:spacing w:line="270" w:lineRule="atLeast"/>
        <w:ind w:left="600" w:right="300"/>
        <w:jc w:val="center"/>
        <w:textAlignment w:val="center"/>
        <w:rPr>
          <w:rFonts w:ascii="inherit" w:eastAsia="Times New Roman" w:hAnsi="inherit"/>
          <w:color w:val="4D4F51"/>
          <w:sz w:val="21"/>
          <w:szCs w:val="21"/>
          <w:lang w:eastAsia="en-GB"/>
        </w:rPr>
      </w:pPr>
      <w:r w:rsidRPr="00AB3F9E">
        <w:rPr>
          <w:rFonts w:ascii="inherit" w:eastAsia="Times New Roman" w:hAnsi="inherit"/>
          <w:color w:val="4D4F51"/>
          <w:sz w:val="21"/>
          <w:lang w:eastAsia="en-GB"/>
        </w:rPr>
        <w:t>15Likes</w:t>
      </w:r>
    </w:p>
    <w:p w:rsidR="00AB3F9E" w:rsidRPr="00AB3F9E" w:rsidRDefault="00AB3F9E" w:rsidP="00AB3F9E">
      <w:pPr>
        <w:numPr>
          <w:ilvl w:val="0"/>
          <w:numId w:val="1"/>
        </w:numPr>
        <w:shd w:val="clear" w:color="auto" w:fill="FFFFFF"/>
        <w:spacing w:line="270" w:lineRule="atLeast"/>
        <w:ind w:left="600" w:right="300"/>
        <w:jc w:val="center"/>
        <w:textAlignment w:val="center"/>
        <w:rPr>
          <w:rFonts w:ascii="inherit" w:eastAsia="Times New Roman" w:hAnsi="inherit"/>
          <w:color w:val="4D4F51"/>
          <w:sz w:val="21"/>
          <w:szCs w:val="21"/>
          <w:lang w:eastAsia="en-GB"/>
        </w:rPr>
      </w:pPr>
      <w:hyperlink r:id="rId8" w:anchor="comments-8449917438286486203" w:history="1">
        <w:r w:rsidRPr="00AB3F9E">
          <w:rPr>
            <w:rFonts w:ascii="inherit" w:eastAsia="Times New Roman" w:hAnsi="inherit"/>
            <w:color w:val="4D4F51"/>
            <w:sz w:val="21"/>
            <w:lang w:eastAsia="en-GB"/>
          </w:rPr>
          <w:t>3Comments</w:t>
        </w:r>
      </w:hyperlink>
    </w:p>
    <w:p w:rsidR="00AB3F9E" w:rsidRPr="00AB3F9E" w:rsidRDefault="00AB3F9E" w:rsidP="00AB3F9E">
      <w:pPr>
        <w:numPr>
          <w:ilvl w:val="0"/>
          <w:numId w:val="2"/>
        </w:numPr>
        <w:shd w:val="clear" w:color="auto" w:fill="FFFFFF"/>
        <w:ind w:left="0"/>
        <w:jc w:val="center"/>
        <w:textAlignment w:val="center"/>
        <w:rPr>
          <w:rFonts w:ascii="inherit" w:eastAsia="Times New Roman" w:hAnsi="inherit"/>
          <w:color w:val="4D4F51"/>
          <w:sz w:val="21"/>
          <w:szCs w:val="21"/>
          <w:lang w:eastAsia="en-GB"/>
        </w:rPr>
      </w:pPr>
      <w:hyperlink r:id="rId9" w:history="1">
        <w:r w:rsidRPr="00AB3F9E">
          <w:rPr>
            <w:rFonts w:ascii="inherit" w:eastAsia="Times New Roman" w:hAnsi="inherit"/>
            <w:color w:val="96999C"/>
            <w:sz w:val="21"/>
            <w:lang w:eastAsia="en-GB"/>
          </w:rPr>
          <w:t>Share on LinkedIn</w:t>
        </w:r>
      </w:hyperlink>
    </w:p>
    <w:p w:rsidR="00AB3F9E" w:rsidRPr="00AB3F9E" w:rsidRDefault="00AB3F9E" w:rsidP="00AB3F9E">
      <w:pPr>
        <w:numPr>
          <w:ilvl w:val="0"/>
          <w:numId w:val="2"/>
        </w:numPr>
        <w:shd w:val="clear" w:color="auto" w:fill="FFFFFF"/>
        <w:ind w:left="150"/>
        <w:jc w:val="center"/>
        <w:textAlignment w:val="center"/>
        <w:rPr>
          <w:rFonts w:ascii="inherit" w:eastAsia="Times New Roman" w:hAnsi="inherit"/>
          <w:color w:val="4D4F51"/>
          <w:sz w:val="21"/>
          <w:szCs w:val="21"/>
          <w:lang w:eastAsia="en-GB"/>
        </w:rPr>
      </w:pPr>
      <w:hyperlink r:id="rId10" w:history="1">
        <w:r w:rsidRPr="00AB3F9E">
          <w:rPr>
            <w:rFonts w:ascii="inherit" w:eastAsia="Times New Roman" w:hAnsi="inherit"/>
            <w:color w:val="96999C"/>
            <w:sz w:val="21"/>
            <w:lang w:eastAsia="en-GB"/>
          </w:rPr>
          <w:t xml:space="preserve">Share on </w:t>
        </w:r>
        <w:proofErr w:type="spellStart"/>
        <w:r w:rsidRPr="00AB3F9E">
          <w:rPr>
            <w:rFonts w:ascii="inherit" w:eastAsia="Times New Roman" w:hAnsi="inherit"/>
            <w:color w:val="96999C"/>
            <w:sz w:val="21"/>
            <w:lang w:eastAsia="en-GB"/>
          </w:rPr>
          <w:t>Facebook</w:t>
        </w:r>
        <w:proofErr w:type="spellEnd"/>
      </w:hyperlink>
    </w:p>
    <w:p w:rsidR="00AB3F9E" w:rsidRPr="00AB3F9E" w:rsidRDefault="00AB3F9E" w:rsidP="00AB3F9E">
      <w:pPr>
        <w:numPr>
          <w:ilvl w:val="0"/>
          <w:numId w:val="2"/>
        </w:numPr>
        <w:shd w:val="clear" w:color="auto" w:fill="FFFFFF"/>
        <w:ind w:left="150"/>
        <w:jc w:val="center"/>
        <w:textAlignment w:val="center"/>
        <w:rPr>
          <w:rFonts w:ascii="inherit" w:eastAsia="Times New Roman" w:hAnsi="inherit"/>
          <w:color w:val="4D4F51"/>
          <w:sz w:val="21"/>
          <w:szCs w:val="21"/>
          <w:lang w:eastAsia="en-GB"/>
        </w:rPr>
      </w:pPr>
      <w:hyperlink r:id="rId11" w:history="1">
        <w:r w:rsidRPr="00AB3F9E">
          <w:rPr>
            <w:rFonts w:ascii="inherit" w:eastAsia="Times New Roman" w:hAnsi="inherit"/>
            <w:color w:val="96999C"/>
            <w:sz w:val="21"/>
            <w:lang w:eastAsia="en-GB"/>
          </w:rPr>
          <w:t>Share on Google Plus</w:t>
        </w:r>
      </w:hyperlink>
    </w:p>
    <w:p w:rsidR="00AB3F9E" w:rsidRPr="00AB3F9E" w:rsidRDefault="00AB3F9E" w:rsidP="00AB3F9E">
      <w:pPr>
        <w:numPr>
          <w:ilvl w:val="0"/>
          <w:numId w:val="2"/>
        </w:numPr>
        <w:shd w:val="clear" w:color="auto" w:fill="FFFFFF"/>
        <w:ind w:left="150"/>
        <w:jc w:val="center"/>
        <w:textAlignment w:val="center"/>
        <w:rPr>
          <w:rFonts w:ascii="inherit" w:eastAsia="Times New Roman" w:hAnsi="inherit"/>
          <w:color w:val="4D4F51"/>
          <w:sz w:val="21"/>
          <w:szCs w:val="21"/>
          <w:lang w:eastAsia="en-GB"/>
        </w:rPr>
      </w:pPr>
      <w:hyperlink r:id="rId12" w:history="1">
        <w:r w:rsidRPr="00AB3F9E">
          <w:rPr>
            <w:rFonts w:ascii="inherit" w:eastAsia="Times New Roman" w:hAnsi="inherit"/>
            <w:color w:val="96999C"/>
            <w:sz w:val="21"/>
            <w:lang w:eastAsia="en-GB"/>
          </w:rPr>
          <w:t>Share on Twitter</w:t>
        </w:r>
      </w:hyperlink>
    </w:p>
    <w:p w:rsidR="00AB3F9E" w:rsidRPr="00AB3F9E" w:rsidRDefault="00AB3F9E" w:rsidP="00AB3F9E">
      <w:pPr>
        <w:shd w:val="clear" w:color="auto" w:fill="FFFFFF"/>
        <w:spacing w:line="360" w:lineRule="atLeast"/>
        <w:textAlignment w:val="baseline"/>
        <w:rPr>
          <w:rFonts w:ascii="inherit" w:eastAsia="Times New Roman" w:hAnsi="inherit"/>
          <w:color w:val="4D4F51"/>
          <w:sz w:val="24"/>
          <w:lang w:eastAsia="en-GB"/>
        </w:rPr>
      </w:pPr>
      <w:r w:rsidRPr="00AB3F9E">
        <w:rPr>
          <w:rFonts w:ascii="inherit" w:eastAsia="Times New Roman" w:hAnsi="inherit"/>
          <w:b/>
          <w:bCs/>
          <w:color w:val="4D4F51"/>
          <w:sz w:val="24"/>
          <w:lang w:eastAsia="en-GB"/>
        </w:rPr>
        <w:t>There are four types of boards: </w:t>
      </w:r>
      <w:hyperlink r:id="rId13" w:tgtFrame="_blank" w:history="1">
        <w:r w:rsidRPr="00AB3F9E">
          <w:rPr>
            <w:rFonts w:ascii="inherit" w:eastAsia="Times New Roman" w:hAnsi="inherit"/>
            <w:b/>
            <w:bCs/>
            <w:color w:val="96999C"/>
            <w:sz w:val="24"/>
            <w:u w:val="single"/>
            <w:lang w:eastAsia="en-GB"/>
          </w:rPr>
          <w:t>Advisory</w:t>
        </w:r>
      </w:hyperlink>
      <w:r w:rsidRPr="00AB3F9E">
        <w:rPr>
          <w:rFonts w:ascii="inherit" w:eastAsia="Times New Roman" w:hAnsi="inherit"/>
          <w:b/>
          <w:bCs/>
          <w:color w:val="4D4F51"/>
          <w:sz w:val="24"/>
          <w:lang w:eastAsia="en-GB"/>
        </w:rPr>
        <w:t>, </w:t>
      </w:r>
      <w:hyperlink r:id="rId14" w:tgtFrame="_blank" w:history="1">
        <w:r w:rsidRPr="00AB3F9E">
          <w:rPr>
            <w:rFonts w:ascii="inherit" w:eastAsia="Times New Roman" w:hAnsi="inherit"/>
            <w:b/>
            <w:bCs/>
            <w:color w:val="96999C"/>
            <w:sz w:val="24"/>
            <w:u w:val="single"/>
            <w:lang w:eastAsia="en-GB"/>
          </w:rPr>
          <w:t>Non-Profit</w:t>
        </w:r>
      </w:hyperlink>
      <w:r w:rsidRPr="00AB3F9E">
        <w:rPr>
          <w:rFonts w:ascii="inherit" w:eastAsia="Times New Roman" w:hAnsi="inherit"/>
          <w:b/>
          <w:bCs/>
          <w:color w:val="4D4F51"/>
          <w:sz w:val="24"/>
          <w:lang w:eastAsia="en-GB"/>
        </w:rPr>
        <w:t>, </w:t>
      </w:r>
      <w:hyperlink r:id="rId15" w:tgtFrame="_blank" w:history="1">
        <w:r w:rsidRPr="00AB3F9E">
          <w:rPr>
            <w:rFonts w:ascii="inherit" w:eastAsia="Times New Roman" w:hAnsi="inherit"/>
            <w:b/>
            <w:bCs/>
            <w:color w:val="96999C"/>
            <w:sz w:val="24"/>
            <w:u w:val="single"/>
            <w:lang w:eastAsia="en-GB"/>
          </w:rPr>
          <w:t>Private</w:t>
        </w:r>
      </w:hyperlink>
      <w:r w:rsidRPr="00AB3F9E">
        <w:rPr>
          <w:rFonts w:ascii="inherit" w:eastAsia="Times New Roman" w:hAnsi="inherit"/>
          <w:b/>
          <w:bCs/>
          <w:color w:val="4D4F51"/>
          <w:sz w:val="24"/>
          <w:lang w:eastAsia="en-GB"/>
        </w:rPr>
        <w:t> </w:t>
      </w:r>
      <w:proofErr w:type="spellStart"/>
      <w:r w:rsidRPr="00AB3F9E">
        <w:rPr>
          <w:rFonts w:ascii="inherit" w:eastAsia="Times New Roman" w:hAnsi="inherit"/>
          <w:b/>
          <w:bCs/>
          <w:color w:val="4D4F51"/>
          <w:sz w:val="24"/>
          <w:lang w:eastAsia="en-GB"/>
        </w:rPr>
        <w:t>and</w:t>
      </w:r>
      <w:hyperlink r:id="rId16" w:tgtFrame="_blank" w:history="1">
        <w:r w:rsidRPr="00AB3F9E">
          <w:rPr>
            <w:rFonts w:ascii="inherit" w:eastAsia="Times New Roman" w:hAnsi="inherit"/>
            <w:b/>
            <w:bCs/>
            <w:color w:val="96999C"/>
            <w:sz w:val="24"/>
            <w:u w:val="single"/>
            <w:lang w:eastAsia="en-GB"/>
          </w:rPr>
          <w:t>Public</w:t>
        </w:r>
        <w:proofErr w:type="spellEnd"/>
        <w:r w:rsidRPr="00AB3F9E">
          <w:rPr>
            <w:rFonts w:ascii="inherit" w:eastAsia="Times New Roman" w:hAnsi="inherit"/>
            <w:b/>
            <w:bCs/>
            <w:color w:val="96999C"/>
            <w:sz w:val="24"/>
            <w:u w:val="single"/>
            <w:lang w:eastAsia="en-GB"/>
          </w:rPr>
          <w:t>/Corporate</w:t>
        </w:r>
      </w:hyperlink>
      <w:r w:rsidRPr="00AB3F9E">
        <w:rPr>
          <w:rFonts w:ascii="inherit" w:eastAsia="Times New Roman" w:hAnsi="inherit"/>
          <w:b/>
          <w:bCs/>
          <w:color w:val="4D4F51"/>
          <w:sz w:val="24"/>
          <w:lang w:eastAsia="en-GB"/>
        </w:rPr>
        <w:t>.</w:t>
      </w:r>
      <w:r w:rsidRPr="00AB3F9E">
        <w:rPr>
          <w:rFonts w:ascii="inherit" w:eastAsia="Times New Roman" w:hAnsi="inherit"/>
          <w:color w:val="4D4F51"/>
          <w:sz w:val="24"/>
          <w:lang w:eastAsia="en-GB"/>
        </w:rPr>
        <w:br/>
      </w:r>
      <w:r w:rsidRPr="00AB3F9E">
        <w:rPr>
          <w:rFonts w:ascii="inherit" w:eastAsia="Times New Roman" w:hAnsi="inherit"/>
          <w:color w:val="4D4F51"/>
          <w:sz w:val="24"/>
          <w:lang w:eastAsia="en-GB"/>
        </w:rPr>
        <w:br/>
        <w:t xml:space="preserve">All have some type of uniqueness as it relates to their purpose, their roles and responsibilities, the stakeholders they serve, the benefits and value they should deliver and the </w:t>
      </w:r>
      <w:proofErr w:type="spellStart"/>
      <w:r w:rsidRPr="00AB3F9E">
        <w:rPr>
          <w:rFonts w:ascii="inherit" w:eastAsia="Times New Roman" w:hAnsi="inherit"/>
          <w:color w:val="4D4F51"/>
          <w:sz w:val="24"/>
          <w:lang w:eastAsia="en-GB"/>
        </w:rPr>
        <w:t>skillsets</w:t>
      </w:r>
      <w:proofErr w:type="spellEnd"/>
      <w:r w:rsidRPr="00AB3F9E">
        <w:rPr>
          <w:rFonts w:ascii="inherit" w:eastAsia="Times New Roman" w:hAnsi="inherit"/>
          <w:color w:val="4D4F51"/>
          <w:sz w:val="24"/>
          <w:lang w:eastAsia="en-GB"/>
        </w:rPr>
        <w:t xml:space="preserve"> they require to achieve the optimal composition-- and all have their own compensation offerings.</w:t>
      </w:r>
      <w:r w:rsidRPr="00AB3F9E">
        <w:rPr>
          <w:rFonts w:ascii="inherit" w:eastAsia="Times New Roman" w:hAnsi="inherit"/>
          <w:color w:val="4D4F51"/>
          <w:sz w:val="24"/>
          <w:lang w:eastAsia="en-GB"/>
        </w:rPr>
        <w:br/>
      </w:r>
      <w:r w:rsidRPr="00AB3F9E">
        <w:rPr>
          <w:rFonts w:ascii="inherit" w:eastAsia="Times New Roman" w:hAnsi="inherit"/>
          <w:color w:val="4D4F51"/>
          <w:sz w:val="24"/>
          <w:lang w:eastAsia="en-GB"/>
        </w:rPr>
        <w:br/>
        <w:t xml:space="preserve">All four types of boards need strong leadership, regardless of size and purpose. All need a clear delineation of responsibilities and expectations to be effective, and all need a clear framework on how to best support the organization they serve and how and when to interact with the organization’s leader(s) and management. Each board’s effectiveness and impact extend well beyond the walls of the room where they meet. All affect, in </w:t>
      </w:r>
      <w:proofErr w:type="gramStart"/>
      <w:r w:rsidRPr="00AB3F9E">
        <w:rPr>
          <w:rFonts w:ascii="inherit" w:eastAsia="Times New Roman" w:hAnsi="inherit"/>
          <w:color w:val="4D4F51"/>
          <w:sz w:val="24"/>
          <w:lang w:eastAsia="en-GB"/>
        </w:rPr>
        <w:t>their own</w:t>
      </w:r>
      <w:proofErr w:type="gramEnd"/>
      <w:r w:rsidRPr="00AB3F9E">
        <w:rPr>
          <w:rFonts w:ascii="inherit" w:eastAsia="Times New Roman" w:hAnsi="inherit"/>
          <w:color w:val="4D4F51"/>
          <w:sz w:val="24"/>
          <w:lang w:eastAsia="en-GB"/>
        </w:rPr>
        <w:t xml:space="preserve"> way (small or large), our communities and how we create legacies we can be proud of.</w:t>
      </w:r>
      <w:r w:rsidRPr="00AB3F9E">
        <w:rPr>
          <w:rFonts w:ascii="inherit" w:eastAsia="Times New Roman" w:hAnsi="inherit"/>
          <w:color w:val="4D4F51"/>
          <w:sz w:val="24"/>
          <w:lang w:eastAsia="en-GB"/>
        </w:rPr>
        <w:br/>
      </w:r>
      <w:r w:rsidRPr="00AB3F9E">
        <w:rPr>
          <w:rFonts w:ascii="inherit" w:eastAsia="Times New Roman" w:hAnsi="inherit"/>
          <w:color w:val="4D4F51"/>
          <w:sz w:val="24"/>
          <w:lang w:eastAsia="en-GB"/>
        </w:rPr>
        <w:br/>
        <w:t>It is my experience that people often underestimate the importance of adopting a strategic approach to the creation, maintenance, refreshment and dissolution of boards. For any board, being prepared and carefully thinking through how to best achieve optimal composition is key. It is work—work that must be done.</w:t>
      </w:r>
      <w:r w:rsidRPr="00AB3F9E">
        <w:rPr>
          <w:rFonts w:ascii="inherit" w:eastAsia="Times New Roman" w:hAnsi="inherit"/>
          <w:color w:val="4D4F51"/>
          <w:sz w:val="24"/>
          <w:lang w:eastAsia="en-GB"/>
        </w:rPr>
        <w:br/>
      </w:r>
      <w:r w:rsidRPr="00AB3F9E">
        <w:rPr>
          <w:rFonts w:ascii="inherit" w:eastAsia="Times New Roman" w:hAnsi="inherit"/>
          <w:color w:val="4D4F51"/>
          <w:sz w:val="24"/>
          <w:lang w:eastAsia="en-GB"/>
        </w:rPr>
        <w:br/>
        <w:t xml:space="preserve">It is not uncommon for advisory boards, non-profit boards or family or start-up boards to create their structure without the advice of legal counsel. Regardless of the budget and </w:t>
      </w:r>
      <w:r w:rsidRPr="00AB3F9E">
        <w:rPr>
          <w:rFonts w:ascii="inherit" w:eastAsia="Times New Roman" w:hAnsi="inherit"/>
          <w:color w:val="4D4F51"/>
          <w:sz w:val="24"/>
          <w:lang w:eastAsia="en-GB"/>
        </w:rPr>
        <w:lastRenderedPageBreak/>
        <w:t xml:space="preserve">available funds, it is wise to identify a trusted legal </w:t>
      </w:r>
      <w:proofErr w:type="spellStart"/>
      <w:r w:rsidRPr="00AB3F9E">
        <w:rPr>
          <w:rFonts w:ascii="inherit" w:eastAsia="Times New Roman" w:hAnsi="inherit"/>
          <w:color w:val="4D4F51"/>
          <w:sz w:val="24"/>
          <w:lang w:eastAsia="en-GB"/>
        </w:rPr>
        <w:t>counselor</w:t>
      </w:r>
      <w:proofErr w:type="spellEnd"/>
      <w:r w:rsidRPr="00AB3F9E">
        <w:rPr>
          <w:rFonts w:ascii="inherit" w:eastAsia="Times New Roman" w:hAnsi="inherit"/>
          <w:color w:val="4D4F51"/>
          <w:sz w:val="24"/>
          <w:lang w:eastAsia="en-GB"/>
        </w:rPr>
        <w:t xml:space="preserve"> who can guide you and/or confirm that you are exercising appropriate corporate governance. Seeking professional assistance here doesn’t necessarily need to be costly, but the consequences of not doing it right can be. You can’t afford to be informal when addressing board composition through the process of building, maintaining, augmenting, refreshing and dissolving a board.</w:t>
      </w:r>
      <w:r w:rsidRPr="00AB3F9E">
        <w:rPr>
          <w:rFonts w:ascii="inherit" w:eastAsia="Times New Roman" w:hAnsi="inherit"/>
          <w:color w:val="4D4F51"/>
          <w:sz w:val="24"/>
          <w:lang w:eastAsia="en-GB"/>
        </w:rPr>
        <w:br/>
      </w:r>
      <w:r w:rsidRPr="00AB3F9E">
        <w:rPr>
          <w:rFonts w:ascii="inherit" w:eastAsia="Times New Roman" w:hAnsi="inherit"/>
          <w:color w:val="4D4F51"/>
          <w:sz w:val="24"/>
          <w:lang w:eastAsia="en-GB"/>
        </w:rPr>
        <w:br/>
      </w:r>
      <w:hyperlink r:id="rId17" w:tgtFrame="_blank" w:history="1">
        <w:r w:rsidRPr="00AB3F9E">
          <w:rPr>
            <w:rFonts w:ascii="inherit" w:eastAsia="Times New Roman" w:hAnsi="inherit"/>
            <w:b/>
            <w:bCs/>
            <w:color w:val="96999C"/>
            <w:sz w:val="24"/>
            <w:lang w:eastAsia="en-GB"/>
          </w:rPr>
          <w:t>Advisory Boards/Councils</w:t>
        </w:r>
      </w:hyperlink>
      <w:r w:rsidRPr="00AB3F9E">
        <w:rPr>
          <w:rFonts w:ascii="inherit" w:eastAsia="Times New Roman" w:hAnsi="inherit"/>
          <w:color w:val="4D4F51"/>
          <w:sz w:val="24"/>
          <w:lang w:eastAsia="en-GB"/>
        </w:rPr>
        <w:br/>
      </w:r>
      <w:r w:rsidRPr="00AB3F9E">
        <w:rPr>
          <w:rFonts w:ascii="inherit" w:eastAsia="Times New Roman" w:hAnsi="inherit"/>
          <w:color w:val="4D4F51"/>
          <w:sz w:val="24"/>
          <w:lang w:eastAsia="en-GB"/>
        </w:rPr>
        <w:br/>
        <w:t>I have colleagues who don’t believe Advisory Boards should be called boards, since they are not governed with the rigor that the other three types are. Even if you prefer to call them “councils” instead of boards, they still need to be thought out. Rather than directors, advisors are recruited for advisory boards, and unlike the other three types of boards, advisory boards do not have a fiduciary duty.</w:t>
      </w:r>
      <w:r w:rsidRPr="00AB3F9E">
        <w:rPr>
          <w:rFonts w:ascii="inherit" w:eastAsia="Times New Roman" w:hAnsi="inherit"/>
          <w:color w:val="4D4F51"/>
          <w:sz w:val="24"/>
          <w:lang w:eastAsia="en-GB"/>
        </w:rPr>
        <w:br/>
      </w:r>
      <w:r w:rsidRPr="00AB3F9E">
        <w:rPr>
          <w:rFonts w:ascii="inherit" w:eastAsia="Times New Roman" w:hAnsi="inherit"/>
          <w:color w:val="4D4F51"/>
          <w:sz w:val="24"/>
          <w:lang w:eastAsia="en-GB"/>
        </w:rPr>
        <w:br/>
        <w:t>Advisory boards can exist to provide expertise to complement any of the other three boards, and/or complement the management team and/or any of the functional areas and divisions, and/or complement special “task force” teams, etc. In my opinion, Advisory Boards should be one of the highest priorities for start-ups and for new initiatives that are being tested or pioneered within an organization. When well structured and well managed, they can also significantly increase the bandwidth of and outcome realized for a non-profit organization.</w:t>
      </w:r>
      <w:r w:rsidRPr="00AB3F9E">
        <w:rPr>
          <w:rFonts w:ascii="inherit" w:eastAsia="Times New Roman" w:hAnsi="inherit"/>
          <w:color w:val="4D4F51"/>
          <w:sz w:val="24"/>
          <w:lang w:eastAsia="en-GB"/>
        </w:rPr>
        <w:br/>
      </w:r>
      <w:r w:rsidRPr="00AB3F9E">
        <w:rPr>
          <w:rFonts w:ascii="inherit" w:eastAsia="Times New Roman" w:hAnsi="inherit"/>
          <w:color w:val="4D4F51"/>
          <w:sz w:val="24"/>
          <w:lang w:eastAsia="en-GB"/>
        </w:rPr>
        <w:br/>
        <w:t>If you join an Advisory Board, be clear about what your role is and what is expected of you. Address up front if your contribution is voluntary or paid. Do not over-promise as a result of being eager to contribute. If you don’t know how to advise and mentor, this is not the right board for you.</w:t>
      </w:r>
      <w:r w:rsidRPr="00AB3F9E">
        <w:rPr>
          <w:rFonts w:ascii="inherit" w:eastAsia="Times New Roman" w:hAnsi="inherit"/>
          <w:color w:val="4D4F51"/>
          <w:sz w:val="24"/>
          <w:lang w:eastAsia="en-GB"/>
        </w:rPr>
        <w:br/>
      </w:r>
      <w:r w:rsidRPr="00AB3F9E">
        <w:rPr>
          <w:rFonts w:ascii="inherit" w:eastAsia="Times New Roman" w:hAnsi="inherit"/>
          <w:color w:val="4D4F51"/>
          <w:sz w:val="24"/>
          <w:lang w:eastAsia="en-GB"/>
        </w:rPr>
        <w:br/>
      </w:r>
      <w:hyperlink r:id="rId18" w:tgtFrame="_blank" w:history="1">
        <w:r w:rsidRPr="00AB3F9E">
          <w:rPr>
            <w:rFonts w:ascii="inherit" w:eastAsia="Times New Roman" w:hAnsi="inherit"/>
            <w:b/>
            <w:bCs/>
            <w:color w:val="96999C"/>
            <w:sz w:val="24"/>
            <w:lang w:eastAsia="en-GB"/>
          </w:rPr>
          <w:t>Non-Profit Boards</w:t>
        </w:r>
      </w:hyperlink>
      <w:r w:rsidRPr="00AB3F9E">
        <w:rPr>
          <w:rFonts w:ascii="inherit" w:eastAsia="Times New Roman" w:hAnsi="inherit"/>
          <w:color w:val="4D4F51"/>
          <w:sz w:val="24"/>
          <w:lang w:eastAsia="en-GB"/>
        </w:rPr>
        <w:br/>
      </w:r>
      <w:r w:rsidRPr="00AB3F9E">
        <w:rPr>
          <w:rFonts w:ascii="inherit" w:eastAsia="Times New Roman" w:hAnsi="inherit"/>
          <w:color w:val="4D4F51"/>
          <w:sz w:val="24"/>
          <w:lang w:eastAsia="en-GB"/>
        </w:rPr>
        <w:br/>
        <w:t>Non-Profit Boards serve a 501[c</w:t>
      </w:r>
      <w:proofErr w:type="gramStart"/>
      <w:r w:rsidRPr="00AB3F9E">
        <w:rPr>
          <w:rFonts w:ascii="inherit" w:eastAsia="Times New Roman" w:hAnsi="inherit"/>
          <w:color w:val="4D4F51"/>
          <w:sz w:val="24"/>
          <w:lang w:eastAsia="en-GB"/>
        </w:rPr>
        <w:t>](</w:t>
      </w:r>
      <w:proofErr w:type="gramEnd"/>
      <w:r w:rsidRPr="00AB3F9E">
        <w:rPr>
          <w:rFonts w:ascii="inherit" w:eastAsia="Times New Roman" w:hAnsi="inherit"/>
          <w:color w:val="4D4F51"/>
          <w:sz w:val="24"/>
          <w:lang w:eastAsia="en-GB"/>
        </w:rPr>
        <w:t>3) organization, which is an organization that is not and cannot be organized or operated for the benefit of private interests. Essentially, directors on these boards make a commitment to a cause, are volunteering time and are frequently asked to give a philanthropic donation.</w:t>
      </w:r>
      <w:r w:rsidRPr="00AB3F9E">
        <w:rPr>
          <w:rFonts w:ascii="inherit" w:eastAsia="Times New Roman" w:hAnsi="inherit"/>
          <w:color w:val="4D4F51"/>
          <w:sz w:val="24"/>
          <w:lang w:eastAsia="en-GB"/>
        </w:rPr>
        <w:br/>
      </w:r>
      <w:r w:rsidRPr="00AB3F9E">
        <w:rPr>
          <w:rFonts w:ascii="inherit" w:eastAsia="Times New Roman" w:hAnsi="inherit"/>
          <w:color w:val="4D4F51"/>
          <w:sz w:val="24"/>
          <w:lang w:eastAsia="en-GB"/>
        </w:rPr>
        <w:br/>
        <w:t xml:space="preserve">Having a lot of experience on advisory boards can be a natural progression to join a Non-Profit Board, while joining a Non-Profit Board doesn’t require that you have had experience on Advisory Boards or any other types of boards. Serving on a Non-Profit Board can also be a great launch pad for eventually joining a Private or Public Board, depending on your role, your contribution and your leadership. If you enjoy fundraising or would like to be a </w:t>
      </w:r>
      <w:r w:rsidRPr="00AB3F9E">
        <w:rPr>
          <w:rFonts w:ascii="inherit" w:eastAsia="Times New Roman" w:hAnsi="inherit"/>
          <w:color w:val="4D4F51"/>
          <w:sz w:val="24"/>
          <w:lang w:eastAsia="en-GB"/>
        </w:rPr>
        <w:lastRenderedPageBreak/>
        <w:t>fundraiser, this is the type of board to consider.</w:t>
      </w:r>
      <w:r w:rsidRPr="00AB3F9E">
        <w:rPr>
          <w:rFonts w:ascii="inherit" w:eastAsia="Times New Roman" w:hAnsi="inherit"/>
          <w:color w:val="4D4F51"/>
          <w:sz w:val="24"/>
          <w:lang w:eastAsia="en-GB"/>
        </w:rPr>
        <w:br/>
      </w:r>
      <w:r w:rsidRPr="00AB3F9E">
        <w:rPr>
          <w:rFonts w:ascii="inherit" w:eastAsia="Times New Roman" w:hAnsi="inherit"/>
          <w:color w:val="4D4F51"/>
          <w:sz w:val="24"/>
          <w:lang w:eastAsia="en-GB"/>
        </w:rPr>
        <w:br/>
      </w:r>
      <w:hyperlink r:id="rId19" w:tgtFrame="_blank" w:history="1">
        <w:r w:rsidRPr="00AB3F9E">
          <w:rPr>
            <w:rFonts w:ascii="inherit" w:eastAsia="Times New Roman" w:hAnsi="inherit"/>
            <w:b/>
            <w:bCs/>
            <w:color w:val="96999C"/>
            <w:sz w:val="24"/>
            <w:lang w:eastAsia="en-GB"/>
          </w:rPr>
          <w:t>Private Boards</w:t>
        </w:r>
      </w:hyperlink>
      <w:r w:rsidRPr="00AB3F9E">
        <w:rPr>
          <w:rFonts w:ascii="inherit" w:eastAsia="Times New Roman" w:hAnsi="inherit"/>
          <w:color w:val="4D4F51"/>
          <w:sz w:val="24"/>
          <w:lang w:eastAsia="en-GB"/>
        </w:rPr>
        <w:br/>
      </w:r>
      <w:r w:rsidRPr="00AB3F9E">
        <w:rPr>
          <w:rFonts w:ascii="inherit" w:eastAsia="Times New Roman" w:hAnsi="inherit"/>
          <w:color w:val="4D4F51"/>
          <w:sz w:val="24"/>
          <w:lang w:eastAsia="en-GB"/>
        </w:rPr>
        <w:br/>
        <w:t>Private Boards are not limited to small businesses. There are many mid-size and large companies that are private, and many family businesses are private.</w:t>
      </w:r>
      <w:r w:rsidRPr="00AB3F9E">
        <w:rPr>
          <w:rFonts w:ascii="inherit" w:eastAsia="Times New Roman" w:hAnsi="inherit"/>
          <w:color w:val="4D4F51"/>
          <w:sz w:val="24"/>
          <w:lang w:eastAsia="en-GB"/>
        </w:rPr>
        <w:br/>
      </w:r>
      <w:r w:rsidRPr="00AB3F9E">
        <w:rPr>
          <w:rFonts w:ascii="inherit" w:eastAsia="Times New Roman" w:hAnsi="inherit"/>
          <w:color w:val="4D4F51"/>
          <w:sz w:val="24"/>
          <w:lang w:eastAsia="en-GB"/>
        </w:rPr>
        <w:br/>
        <w:t>Joining the Private Board of a start-up can be very exciting, quite intense and sometimes draining. Start-ups are all about growth. Investors want it big and fast. In this circumstance, it’s important to be watchful if you are not good at setting boundaries or working under pressure.</w:t>
      </w:r>
      <w:r w:rsidRPr="00AB3F9E">
        <w:rPr>
          <w:rFonts w:ascii="inherit" w:eastAsia="Times New Roman" w:hAnsi="inherit"/>
          <w:color w:val="4D4F51"/>
          <w:sz w:val="24"/>
          <w:lang w:eastAsia="en-GB"/>
        </w:rPr>
        <w:br/>
      </w:r>
      <w:r w:rsidRPr="00AB3F9E">
        <w:rPr>
          <w:rFonts w:ascii="inherit" w:eastAsia="Times New Roman" w:hAnsi="inherit"/>
          <w:color w:val="4D4F51"/>
          <w:sz w:val="24"/>
          <w:lang w:eastAsia="en-GB"/>
        </w:rPr>
        <w:br/>
        <w:t>Private Board directors have more latitude with regards to their involvement with the CEO and the management team while working to grow the business. In addition, joining a Private Board potentially has a great financial upside, as compensation isn’t necessarily limited to cash, and might/more likely include (or exclusively be) stock options or shares. Private Boards are great launch pads for corporate board service.</w:t>
      </w:r>
      <w:r w:rsidRPr="00AB3F9E">
        <w:rPr>
          <w:rFonts w:ascii="inherit" w:eastAsia="Times New Roman" w:hAnsi="inherit"/>
          <w:color w:val="4D4F51"/>
          <w:sz w:val="24"/>
          <w:lang w:eastAsia="en-GB"/>
        </w:rPr>
        <w:br/>
      </w:r>
      <w:r w:rsidRPr="00AB3F9E">
        <w:rPr>
          <w:rFonts w:ascii="inherit" w:eastAsia="Times New Roman" w:hAnsi="inherit"/>
          <w:color w:val="4D4F51"/>
          <w:sz w:val="24"/>
          <w:lang w:eastAsia="en-GB"/>
        </w:rPr>
        <w:br/>
        <w:t>Private Boards don’t have the same legal liabilities and risks that are inherent with serving on a Public Board. This can be a good progression to gain experience about governance for landing a board seat for a public company (or to end-up on a public company’s board if the company’s exit strategy is an Initial Public Offering (IPO) during the time you serve on the board). You can also be exposed to an M&amp;A from either side.</w:t>
      </w:r>
      <w:r w:rsidRPr="00AB3F9E">
        <w:rPr>
          <w:rFonts w:ascii="inherit" w:eastAsia="Times New Roman" w:hAnsi="inherit"/>
          <w:color w:val="4D4F51"/>
          <w:sz w:val="24"/>
          <w:lang w:eastAsia="en-GB"/>
        </w:rPr>
        <w:br/>
      </w:r>
      <w:r w:rsidRPr="00AB3F9E">
        <w:rPr>
          <w:rFonts w:ascii="inherit" w:eastAsia="Times New Roman" w:hAnsi="inherit"/>
          <w:color w:val="4D4F51"/>
          <w:sz w:val="24"/>
          <w:lang w:eastAsia="en-GB"/>
        </w:rPr>
        <w:br/>
        <w:t xml:space="preserve">If you enjoy working with investors, venture capitalists and/or having exposure to them, this is a great type of board to join, as one of your roles might be to help </w:t>
      </w:r>
      <w:proofErr w:type="gramStart"/>
      <w:r w:rsidRPr="00AB3F9E">
        <w:rPr>
          <w:rFonts w:ascii="inherit" w:eastAsia="Times New Roman" w:hAnsi="inherit"/>
          <w:color w:val="4D4F51"/>
          <w:sz w:val="24"/>
          <w:lang w:eastAsia="en-GB"/>
        </w:rPr>
        <w:t>an entrepreneurial</w:t>
      </w:r>
      <w:proofErr w:type="gramEnd"/>
      <w:r w:rsidRPr="00AB3F9E">
        <w:rPr>
          <w:rFonts w:ascii="inherit" w:eastAsia="Times New Roman" w:hAnsi="inherit"/>
          <w:color w:val="4D4F51"/>
          <w:sz w:val="24"/>
          <w:lang w:eastAsia="en-GB"/>
        </w:rPr>
        <w:t xml:space="preserve"> CEO raise money.</w:t>
      </w:r>
      <w:r w:rsidRPr="00AB3F9E">
        <w:rPr>
          <w:rFonts w:ascii="inherit" w:eastAsia="Times New Roman" w:hAnsi="inherit"/>
          <w:color w:val="4D4F51"/>
          <w:sz w:val="24"/>
          <w:lang w:eastAsia="en-GB"/>
        </w:rPr>
        <w:br/>
      </w:r>
      <w:r w:rsidRPr="00AB3F9E">
        <w:rPr>
          <w:rFonts w:ascii="inherit" w:eastAsia="Times New Roman" w:hAnsi="inherit"/>
          <w:color w:val="4D4F51"/>
          <w:sz w:val="24"/>
          <w:lang w:eastAsia="en-GB"/>
        </w:rPr>
        <w:br/>
      </w:r>
      <w:hyperlink r:id="rId20" w:tgtFrame="_blank" w:history="1">
        <w:r w:rsidRPr="00AB3F9E">
          <w:rPr>
            <w:rFonts w:ascii="inherit" w:eastAsia="Times New Roman" w:hAnsi="inherit"/>
            <w:b/>
            <w:bCs/>
            <w:color w:val="96999C"/>
            <w:sz w:val="24"/>
            <w:lang w:eastAsia="en-GB"/>
          </w:rPr>
          <w:t>Public Boards</w:t>
        </w:r>
      </w:hyperlink>
      <w:r w:rsidRPr="00AB3F9E">
        <w:rPr>
          <w:rFonts w:ascii="inherit" w:eastAsia="Times New Roman" w:hAnsi="inherit"/>
          <w:color w:val="4D4F51"/>
          <w:sz w:val="24"/>
          <w:lang w:eastAsia="en-GB"/>
        </w:rPr>
        <w:br/>
      </w:r>
      <w:r w:rsidRPr="00AB3F9E">
        <w:rPr>
          <w:rFonts w:ascii="inherit" w:eastAsia="Times New Roman" w:hAnsi="inherit"/>
          <w:color w:val="4D4F51"/>
          <w:sz w:val="24"/>
          <w:lang w:eastAsia="en-GB"/>
        </w:rPr>
        <w:br/>
        <w:t>Public Boards are by far the most regulated boards. Serving on these boards is time intensive. Since the </w:t>
      </w:r>
      <w:hyperlink r:id="rId21" w:tgtFrame="_blank" w:history="1">
        <w:r w:rsidRPr="00AB3F9E">
          <w:rPr>
            <w:rFonts w:ascii="inherit" w:eastAsia="Times New Roman" w:hAnsi="inherit"/>
            <w:color w:val="96999C"/>
            <w:sz w:val="24"/>
            <w:u w:val="single"/>
            <w:lang w:eastAsia="en-GB"/>
          </w:rPr>
          <w:t>Sarbanes-Oxley act</w:t>
        </w:r>
      </w:hyperlink>
      <w:r w:rsidRPr="00AB3F9E">
        <w:rPr>
          <w:rFonts w:ascii="inherit" w:eastAsia="Times New Roman" w:hAnsi="inherit"/>
          <w:color w:val="4D4F51"/>
          <w:sz w:val="24"/>
          <w:lang w:eastAsia="en-GB"/>
        </w:rPr>
        <w:t xml:space="preserve">, directors of Public/Corporate Boards’ roles are more serious than ever, and there is a great focus on independence. While attractive compensation is an upside to Public Board service, a director must commit to allocate time to prepare for meetings, to be part of committees that meet between regularly scheduled board meetings and to attending all meetings. While your experience and skills are very important when seeking a seat on this type of board, you’ll also need to get educated about governance and regulations. You must be prepared to address crises that require board diligence as they surface. Public </w:t>
      </w:r>
      <w:r w:rsidRPr="00AB3F9E">
        <w:rPr>
          <w:rFonts w:ascii="inherit" w:eastAsia="Times New Roman" w:hAnsi="inherit"/>
          <w:color w:val="4D4F51"/>
          <w:sz w:val="24"/>
          <w:lang w:eastAsia="en-GB"/>
        </w:rPr>
        <w:lastRenderedPageBreak/>
        <w:t>Board directors have fiduciary responsibilities to shareholders, which carry with them risk of liability, especially if risk oversight by directors isn’t prioritized.</w:t>
      </w:r>
      <w:r w:rsidRPr="00AB3F9E">
        <w:rPr>
          <w:rFonts w:ascii="inherit" w:eastAsia="Times New Roman" w:hAnsi="inherit"/>
          <w:color w:val="4D4F51"/>
          <w:sz w:val="24"/>
          <w:lang w:eastAsia="en-GB"/>
        </w:rPr>
        <w:br/>
      </w:r>
      <w:r w:rsidRPr="00AB3F9E">
        <w:rPr>
          <w:rFonts w:ascii="inherit" w:eastAsia="Times New Roman" w:hAnsi="inherit"/>
          <w:color w:val="4D4F51"/>
          <w:sz w:val="24"/>
          <w:lang w:eastAsia="en-GB"/>
        </w:rPr>
        <w:br/>
        <w:t>Public Boards are a great place to make a significant impact with an organization and its leaders.</w:t>
      </w:r>
    </w:p>
    <w:p w:rsidR="00AB3F9E" w:rsidRDefault="00AB3F9E" w:rsidP="00AB3F9E">
      <w:pPr>
        <w:shd w:val="clear" w:color="auto" w:fill="FFFFFF"/>
        <w:spacing w:line="360" w:lineRule="atLeast"/>
        <w:textAlignment w:val="baseline"/>
        <w:rPr>
          <w:rFonts w:ascii="inherit" w:eastAsia="Times New Roman" w:hAnsi="inherit"/>
          <w:i/>
          <w:iCs/>
          <w:color w:val="4D4F51"/>
          <w:sz w:val="24"/>
          <w:lang w:eastAsia="en-GB"/>
        </w:rPr>
      </w:pPr>
      <w:r w:rsidRPr="00AB3F9E">
        <w:rPr>
          <w:rFonts w:ascii="inherit" w:eastAsia="Times New Roman" w:hAnsi="inherit"/>
          <w:i/>
          <w:iCs/>
          <w:color w:val="4D4F51"/>
          <w:sz w:val="24"/>
          <w:lang w:eastAsia="en-GB"/>
        </w:rPr>
        <w:t>This article originally appeared in my eBook "Board Composition." </w:t>
      </w:r>
      <w:hyperlink r:id="rId22" w:tgtFrame="_blank" w:history="1">
        <w:r w:rsidRPr="00AB3F9E">
          <w:rPr>
            <w:rFonts w:ascii="inherit" w:eastAsia="Times New Roman" w:hAnsi="inherit"/>
            <w:i/>
            <w:iCs/>
            <w:color w:val="96999C"/>
            <w:sz w:val="24"/>
            <w:u w:val="single"/>
            <w:lang w:eastAsia="en-GB"/>
          </w:rPr>
          <w:t>Click here for a complimentary download!</w:t>
        </w:r>
      </w:hyperlink>
    </w:p>
    <w:p w:rsidR="00927458" w:rsidRDefault="00927458" w:rsidP="00AB3F9E">
      <w:pPr>
        <w:shd w:val="clear" w:color="auto" w:fill="FFFFFF"/>
        <w:spacing w:line="360" w:lineRule="atLeast"/>
        <w:textAlignment w:val="baseline"/>
        <w:rPr>
          <w:rFonts w:ascii="inherit" w:eastAsia="Times New Roman" w:hAnsi="inherit"/>
          <w:i/>
          <w:iCs/>
          <w:color w:val="4D4F51"/>
          <w:sz w:val="24"/>
          <w:lang w:eastAsia="en-GB"/>
        </w:rPr>
      </w:pPr>
    </w:p>
    <w:p w:rsidR="00927458" w:rsidRDefault="00927458" w:rsidP="00927458">
      <w:pPr>
        <w:rPr>
          <w:rFonts w:asciiTheme="minorHAnsi" w:hAnsiTheme="minorHAnsi"/>
          <w:b/>
          <w:color w:val="7030A0"/>
          <w:sz w:val="24"/>
          <w:shd w:val="clear" w:color="auto" w:fill="FFFFFF"/>
        </w:rPr>
      </w:pPr>
      <w:r w:rsidRPr="00367DB9">
        <w:rPr>
          <w:rFonts w:asciiTheme="minorHAnsi" w:hAnsiTheme="minorHAnsi"/>
          <w:b/>
          <w:color w:val="7030A0"/>
          <w:sz w:val="24"/>
          <w:shd w:val="clear" w:color="auto" w:fill="FFFFFF"/>
        </w:rPr>
        <w:t>Biographies of the Speakers</w:t>
      </w:r>
    </w:p>
    <w:p w:rsidR="00927458" w:rsidRPr="00DD4396" w:rsidRDefault="00927458" w:rsidP="00927458">
      <w:pPr>
        <w:jc w:val="both"/>
        <w:rPr>
          <w:sz w:val="20"/>
          <w:szCs w:val="20"/>
          <w:lang w:val="en-US"/>
        </w:rPr>
      </w:pPr>
      <w:r w:rsidRPr="00DD4396">
        <w:rPr>
          <w:b/>
          <w:bCs/>
          <w:noProof/>
          <w:sz w:val="20"/>
          <w:szCs w:val="20"/>
        </w:rPr>
        <w:drawing>
          <wp:anchor distT="0" distB="0" distL="114300" distR="114300" simplePos="0" relativeHeight="251661312" behindDoc="1" locked="0" layoutInCell="1" allowOverlap="1">
            <wp:simplePos x="0" y="0"/>
            <wp:positionH relativeFrom="column">
              <wp:posOffset>7382510</wp:posOffset>
            </wp:positionH>
            <wp:positionV relativeFrom="paragraph">
              <wp:posOffset>40005</wp:posOffset>
            </wp:positionV>
            <wp:extent cx="1666875" cy="1666875"/>
            <wp:effectExtent l="19050" t="0" r="9525" b="0"/>
            <wp:wrapTight wrapText="bothSides">
              <wp:wrapPolygon edited="0">
                <wp:start x="-247" y="0"/>
                <wp:lineTo x="-247" y="21477"/>
                <wp:lineTo x="21723" y="21477"/>
                <wp:lineTo x="21723" y="0"/>
                <wp:lineTo x="-247" y="0"/>
              </wp:wrapPolygon>
            </wp:wrapTight>
            <wp:docPr id="5" name="Picture 2" descr="Michele McCa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hele McCarthy"/>
                    <pic:cNvPicPr>
                      <a:picLocks noChangeAspect="1" noChangeArrowheads="1"/>
                    </pic:cNvPicPr>
                  </pic:nvPicPr>
                  <pic:blipFill>
                    <a:blip r:embed="rId23" cstate="print"/>
                    <a:srcRect/>
                    <a:stretch>
                      <a:fillRect/>
                    </a:stretch>
                  </pic:blipFill>
                  <pic:spPr bwMode="auto">
                    <a:xfrm>
                      <a:off x="0" y="0"/>
                      <a:ext cx="1666875" cy="1666875"/>
                    </a:xfrm>
                    <a:prstGeom prst="rect">
                      <a:avLst/>
                    </a:prstGeom>
                    <a:noFill/>
                    <a:ln w="9525">
                      <a:noFill/>
                      <a:miter lim="800000"/>
                      <a:headEnd/>
                      <a:tailEnd/>
                    </a:ln>
                  </pic:spPr>
                </pic:pic>
              </a:graphicData>
            </a:graphic>
          </wp:anchor>
        </w:drawing>
      </w:r>
      <w:proofErr w:type="spellStart"/>
      <w:r w:rsidRPr="00DD4396">
        <w:rPr>
          <w:b/>
          <w:bCs/>
          <w:sz w:val="20"/>
          <w:szCs w:val="20"/>
          <w:lang w:val="en-US"/>
        </w:rPr>
        <w:t>Michèle</w:t>
      </w:r>
      <w:proofErr w:type="spellEnd"/>
      <w:r w:rsidRPr="00DD4396">
        <w:rPr>
          <w:b/>
          <w:bCs/>
          <w:sz w:val="20"/>
          <w:szCs w:val="20"/>
          <w:lang w:val="en-US"/>
        </w:rPr>
        <w:t xml:space="preserve"> D. McCarthy, </w:t>
      </w:r>
      <w:proofErr w:type="gramStart"/>
      <w:r w:rsidRPr="00DD4396">
        <w:rPr>
          <w:b/>
          <w:bCs/>
          <w:sz w:val="20"/>
          <w:szCs w:val="20"/>
          <w:lang w:val="en-US"/>
        </w:rPr>
        <w:t xml:space="preserve">ICD.D </w:t>
      </w:r>
      <w:r w:rsidRPr="00DD4396">
        <w:rPr>
          <w:sz w:val="20"/>
          <w:szCs w:val="20"/>
          <w:lang w:val="en-US"/>
        </w:rPr>
        <w:t> LLB</w:t>
      </w:r>
      <w:proofErr w:type="gramEnd"/>
      <w:r w:rsidRPr="00DD4396">
        <w:rPr>
          <w:sz w:val="20"/>
          <w:szCs w:val="20"/>
          <w:lang w:val="en-US"/>
        </w:rPr>
        <w:t>/LLM, has significant experience in leading and implementing strategic change and restructuring in the financial services industry, mining and airports/ports.</w:t>
      </w:r>
      <w:r w:rsidRPr="00DD4396">
        <w:rPr>
          <w:sz w:val="20"/>
          <w:szCs w:val="20"/>
        </w:rPr>
        <w:t xml:space="preserve"> </w:t>
      </w:r>
    </w:p>
    <w:p w:rsidR="00927458" w:rsidRPr="00DD4396" w:rsidRDefault="00927458" w:rsidP="00927458">
      <w:pPr>
        <w:jc w:val="both"/>
        <w:rPr>
          <w:sz w:val="20"/>
          <w:szCs w:val="20"/>
          <w:lang w:val="en-US"/>
        </w:rPr>
      </w:pPr>
    </w:p>
    <w:p w:rsidR="00927458" w:rsidRPr="00DD4396" w:rsidRDefault="00927458" w:rsidP="00927458">
      <w:pPr>
        <w:jc w:val="both"/>
        <w:rPr>
          <w:sz w:val="20"/>
          <w:szCs w:val="20"/>
          <w:lang w:val="en-US"/>
        </w:rPr>
      </w:pPr>
      <w:r w:rsidRPr="00DD4396">
        <w:rPr>
          <w:sz w:val="20"/>
          <w:szCs w:val="20"/>
          <w:lang w:val="en-US"/>
        </w:rPr>
        <w:t xml:space="preserve">Michele has served for over 20 years of experience on boards of TSX listed companies, not-for-profit companies/charities and governmental authorities. She is the Chair of the Boards of </w:t>
      </w:r>
      <w:proofErr w:type="spellStart"/>
      <w:r w:rsidRPr="00DD4396">
        <w:rPr>
          <w:sz w:val="20"/>
          <w:szCs w:val="20"/>
          <w:lang w:val="en-US"/>
        </w:rPr>
        <w:t>Lago</w:t>
      </w:r>
      <w:proofErr w:type="spellEnd"/>
      <w:r w:rsidRPr="00DD4396">
        <w:rPr>
          <w:sz w:val="20"/>
          <w:szCs w:val="20"/>
          <w:lang w:val="en-US"/>
        </w:rPr>
        <w:t xml:space="preserve"> </w:t>
      </w:r>
      <w:proofErr w:type="spellStart"/>
      <w:r w:rsidRPr="00DD4396">
        <w:rPr>
          <w:sz w:val="20"/>
          <w:szCs w:val="20"/>
          <w:lang w:val="en-US"/>
        </w:rPr>
        <w:t>Dourado</w:t>
      </w:r>
      <w:proofErr w:type="spellEnd"/>
      <w:r w:rsidRPr="00DD4396">
        <w:rPr>
          <w:sz w:val="20"/>
          <w:szCs w:val="20"/>
          <w:lang w:val="en-US"/>
        </w:rPr>
        <w:t xml:space="preserve"> Minerals (TSX-V), TD Split Inc., 5Banc Split Inc. and Big 8 Split Inc. as well as a director of Equity Financial Holdings Inc. and Equity Trust Company.  Michele sits on five Independent Review Committees including Educators’ Financial Group, </w:t>
      </w:r>
      <w:proofErr w:type="spellStart"/>
      <w:r w:rsidRPr="00DD4396">
        <w:rPr>
          <w:sz w:val="20"/>
          <w:szCs w:val="20"/>
          <w:lang w:val="en-US"/>
        </w:rPr>
        <w:t>Timbercreek</w:t>
      </w:r>
      <w:proofErr w:type="spellEnd"/>
      <w:r w:rsidRPr="00DD4396">
        <w:rPr>
          <w:sz w:val="20"/>
          <w:szCs w:val="20"/>
          <w:lang w:val="en-US"/>
        </w:rPr>
        <w:t xml:space="preserve"> Asset Management, </w:t>
      </w:r>
      <w:proofErr w:type="spellStart"/>
      <w:r w:rsidRPr="00DD4396">
        <w:rPr>
          <w:sz w:val="20"/>
          <w:szCs w:val="20"/>
          <w:lang w:val="en-US"/>
        </w:rPr>
        <w:t>Picton</w:t>
      </w:r>
      <w:proofErr w:type="spellEnd"/>
      <w:r w:rsidRPr="00DD4396">
        <w:rPr>
          <w:sz w:val="20"/>
          <w:szCs w:val="20"/>
          <w:lang w:val="en-US"/>
        </w:rPr>
        <w:t xml:space="preserve">-Mahoney Asset Management (chair of the foregoing), </w:t>
      </w:r>
      <w:proofErr w:type="spellStart"/>
      <w:r w:rsidRPr="00DD4396">
        <w:rPr>
          <w:sz w:val="20"/>
          <w:szCs w:val="20"/>
          <w:lang w:val="en-US"/>
        </w:rPr>
        <w:t>Aegon</w:t>
      </w:r>
      <w:proofErr w:type="spellEnd"/>
      <w:r w:rsidRPr="00DD4396">
        <w:rPr>
          <w:sz w:val="20"/>
          <w:szCs w:val="20"/>
          <w:lang w:val="en-US"/>
        </w:rPr>
        <w:t xml:space="preserve"> Capital and Integra Capital.  </w:t>
      </w:r>
      <w:proofErr w:type="spellStart"/>
      <w:r w:rsidRPr="00DD4396">
        <w:rPr>
          <w:sz w:val="20"/>
          <w:szCs w:val="20"/>
          <w:lang w:val="en-US"/>
        </w:rPr>
        <w:t>Michèle</w:t>
      </w:r>
      <w:proofErr w:type="spellEnd"/>
      <w:r w:rsidRPr="00DD4396">
        <w:rPr>
          <w:sz w:val="20"/>
          <w:szCs w:val="20"/>
          <w:lang w:val="en-US"/>
        </w:rPr>
        <w:t xml:space="preserve"> was the Chair of the Toronto Port Authority and a member of the Small Business Advisory Committee of the Ontario Securities Commission.   From 1997 to 2005, she was a Trustee of Trinity College (University of Toronto).   She is the Past President of Toronto’s oldest charity, the St. Georges Society of Toronto and a director of the </w:t>
      </w:r>
      <w:proofErr w:type="spellStart"/>
      <w:r w:rsidRPr="00DD4396">
        <w:rPr>
          <w:sz w:val="20"/>
          <w:szCs w:val="20"/>
          <w:lang w:val="en-US"/>
        </w:rPr>
        <w:t>Rekai</w:t>
      </w:r>
      <w:proofErr w:type="spellEnd"/>
      <w:r w:rsidRPr="00DD4396">
        <w:rPr>
          <w:sz w:val="20"/>
          <w:szCs w:val="20"/>
          <w:lang w:val="en-US"/>
        </w:rPr>
        <w:t xml:space="preserve"> </w:t>
      </w:r>
      <w:proofErr w:type="spellStart"/>
      <w:r w:rsidRPr="00DD4396">
        <w:rPr>
          <w:sz w:val="20"/>
          <w:szCs w:val="20"/>
          <w:lang w:val="en-US"/>
        </w:rPr>
        <w:t>Centres</w:t>
      </w:r>
      <w:proofErr w:type="spellEnd"/>
      <w:r w:rsidRPr="00DD4396">
        <w:rPr>
          <w:sz w:val="20"/>
          <w:szCs w:val="20"/>
          <w:lang w:val="en-US"/>
        </w:rPr>
        <w:t xml:space="preserve"> and Foundation, as well as a former director of the Canada’s National Ballet School (Chair of the H.R. Committee) and the Humber Memorial Hospital.  She is also a member of the Institute of Corporate Directors.</w:t>
      </w:r>
    </w:p>
    <w:p w:rsidR="00927458" w:rsidRPr="00DD4396" w:rsidRDefault="00927458" w:rsidP="00927458">
      <w:pPr>
        <w:jc w:val="both"/>
        <w:rPr>
          <w:sz w:val="20"/>
          <w:szCs w:val="20"/>
          <w:lang w:val="en-US"/>
        </w:rPr>
      </w:pPr>
    </w:p>
    <w:p w:rsidR="00927458" w:rsidRDefault="00927458" w:rsidP="00927458">
      <w:pPr>
        <w:jc w:val="both"/>
        <w:rPr>
          <w:sz w:val="20"/>
          <w:szCs w:val="20"/>
          <w:lang w:val="en-US"/>
        </w:rPr>
      </w:pPr>
      <w:r w:rsidRPr="00DD4396">
        <w:rPr>
          <w:sz w:val="20"/>
          <w:szCs w:val="20"/>
          <w:lang w:val="en-US"/>
        </w:rPr>
        <w:t xml:space="preserve">Since October 2003, she has run </w:t>
      </w:r>
      <w:proofErr w:type="spellStart"/>
      <w:r w:rsidRPr="00DD4396">
        <w:rPr>
          <w:sz w:val="20"/>
          <w:szCs w:val="20"/>
          <w:lang w:val="en-US"/>
        </w:rPr>
        <w:t>McCarthyLaw</w:t>
      </w:r>
      <w:proofErr w:type="spellEnd"/>
      <w:r w:rsidRPr="00DD4396">
        <w:rPr>
          <w:sz w:val="20"/>
          <w:szCs w:val="20"/>
          <w:lang w:val="en-US"/>
        </w:rPr>
        <w:t xml:space="preserve"> providing a Virtual General Counsel service to medium sized hedge funds, mutual funds, reporting issuers and Schedule I, II and III banks.  Michele’s career began at Fraser &amp; Beatty where she practiced civil litigation.  Thereafter, she was the Chief Legal Officer, Director Compliance &amp; Corporate Secretary for Deutsche Bank Canada and Deutsche Bank Securities and created its Schedule III bank branch.  Michele completed the reorganization of UBS Bank (Canada) and established UBS AG Canada Branch.  From 2007 to 2011, she was the Chief Legal Officer, Corporate Secretary, Chief Privacy Officer, Ombudsman and Head of Compliance for GMAC Residential Funding of Canada, </w:t>
      </w:r>
      <w:proofErr w:type="spellStart"/>
      <w:r w:rsidRPr="00DD4396">
        <w:rPr>
          <w:sz w:val="20"/>
          <w:szCs w:val="20"/>
          <w:lang w:val="en-US"/>
        </w:rPr>
        <w:t>ResMor</w:t>
      </w:r>
      <w:proofErr w:type="spellEnd"/>
      <w:r w:rsidRPr="00DD4396">
        <w:rPr>
          <w:sz w:val="20"/>
          <w:szCs w:val="20"/>
          <w:lang w:val="en-US"/>
        </w:rPr>
        <w:t xml:space="preserve"> Trust and Ally.  More recently, she has continued to lead projects to create de novo banks and to remediate significant regulatory issues for global and domestic banks as well as for a company in the payday lending industry.   </w:t>
      </w:r>
      <w:proofErr w:type="spellStart"/>
      <w:r w:rsidRPr="00DD4396">
        <w:rPr>
          <w:sz w:val="20"/>
          <w:szCs w:val="20"/>
          <w:lang w:val="en-US"/>
        </w:rPr>
        <w:t>Michèle</w:t>
      </w:r>
      <w:proofErr w:type="spellEnd"/>
      <w:r w:rsidRPr="00DD4396">
        <w:rPr>
          <w:sz w:val="20"/>
          <w:szCs w:val="20"/>
          <w:lang w:val="en-US"/>
        </w:rPr>
        <w:t xml:space="preserve"> has expertise in Canadian and U.S. bank and securities regulatory, compliance and corporate governance matters and is fluent in English and French.</w:t>
      </w:r>
    </w:p>
    <w:p w:rsidR="00927458" w:rsidRPr="00DD4396" w:rsidRDefault="00927458" w:rsidP="00927458">
      <w:pPr>
        <w:jc w:val="both"/>
        <w:rPr>
          <w:sz w:val="20"/>
          <w:szCs w:val="20"/>
          <w:lang w:val="en-US"/>
        </w:rPr>
      </w:pPr>
    </w:p>
    <w:p w:rsidR="00927458" w:rsidRPr="00367DB9" w:rsidRDefault="00927458" w:rsidP="00927458">
      <w:pPr>
        <w:rPr>
          <w:b/>
        </w:rPr>
      </w:pPr>
      <w:r w:rsidRPr="00367DB9">
        <w:rPr>
          <w:b/>
        </w:rPr>
        <w:t>Tracy E. Houston, M.A.</w:t>
      </w:r>
    </w:p>
    <w:p w:rsidR="00927458" w:rsidRDefault="00927458" w:rsidP="00927458">
      <w:r>
        <w:rPr>
          <w:noProof/>
        </w:rPr>
        <w:drawing>
          <wp:anchor distT="0" distB="0" distL="114300" distR="114300" simplePos="0" relativeHeight="251659264" behindDoc="1" locked="0" layoutInCell="1" allowOverlap="1">
            <wp:simplePos x="0" y="0"/>
            <wp:positionH relativeFrom="column">
              <wp:posOffset>10160</wp:posOffset>
            </wp:positionH>
            <wp:positionV relativeFrom="paragraph">
              <wp:posOffset>80645</wp:posOffset>
            </wp:positionV>
            <wp:extent cx="1914525" cy="1914525"/>
            <wp:effectExtent l="19050" t="0" r="9525" b="0"/>
            <wp:wrapTight wrapText="bothSides">
              <wp:wrapPolygon edited="0">
                <wp:start x="-215" y="0"/>
                <wp:lineTo x="-215" y="21493"/>
                <wp:lineTo x="21707" y="21493"/>
                <wp:lineTo x="21707" y="0"/>
                <wp:lineTo x="-215" y="0"/>
              </wp:wrapPolygon>
            </wp:wrapTight>
            <wp:docPr id="4"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24" cstate="print"/>
                    <a:srcRect/>
                    <a:stretch>
                      <a:fillRect/>
                    </a:stretch>
                  </pic:blipFill>
                  <pic:spPr bwMode="auto">
                    <a:xfrm>
                      <a:off x="0" y="0"/>
                      <a:ext cx="1914525" cy="1914525"/>
                    </a:xfrm>
                    <a:prstGeom prst="rect">
                      <a:avLst/>
                    </a:prstGeom>
                    <a:noFill/>
                    <a:ln w="9525">
                      <a:noFill/>
                      <a:miter lim="800000"/>
                      <a:headEnd/>
                      <a:tailEnd/>
                    </a:ln>
                  </pic:spPr>
                </pic:pic>
              </a:graphicData>
            </a:graphic>
          </wp:anchor>
        </w:drawing>
      </w:r>
    </w:p>
    <w:p w:rsidR="00927458" w:rsidRPr="00D06D55" w:rsidRDefault="00927458" w:rsidP="00927458">
      <w:pPr>
        <w:jc w:val="both"/>
        <w:rPr>
          <w:sz w:val="20"/>
          <w:szCs w:val="20"/>
        </w:rPr>
      </w:pPr>
      <w:r w:rsidRPr="00D06D55">
        <w:rPr>
          <w:sz w:val="20"/>
          <w:szCs w:val="20"/>
        </w:rPr>
        <w:t>Tracy E. Houston, M.A. is the President of Board Resources Services, LLC. She is a refined specialist in board consulting and executive coaching with a heartfelt passion for rethinking performance, teams, and the boardroom. With a focus on leadership, strategy, and risk management, she consults primarily with directors, presidents, and senior officers to provide input on high level, sensitive, and complex issues. Sometimes called the Chief Potential Officer, Tracy has a background that includes sitting on a number of boards, board consulting, and coaching for potential. She develops unique insights into the vital role of human interaction and the inevitable fusion between barriers to growth and success.</w:t>
      </w:r>
    </w:p>
    <w:p w:rsidR="00927458" w:rsidRPr="00D06D55" w:rsidRDefault="00927458" w:rsidP="00927458">
      <w:pPr>
        <w:jc w:val="both"/>
        <w:rPr>
          <w:sz w:val="20"/>
          <w:szCs w:val="20"/>
        </w:rPr>
      </w:pPr>
      <w:r w:rsidRPr="00D06D55">
        <w:rPr>
          <w:sz w:val="20"/>
          <w:szCs w:val="20"/>
        </w:rPr>
        <w:t xml:space="preserve">Extensively published, Tracy has written hundreds of blogs that are </w:t>
      </w:r>
      <w:r w:rsidRPr="00D06D55">
        <w:rPr>
          <w:sz w:val="20"/>
          <w:szCs w:val="20"/>
        </w:rPr>
        <w:lastRenderedPageBreak/>
        <w:t>featured on numerous award-winning websites and has a monthly board column hosted by </w:t>
      </w:r>
      <w:hyperlink r:id="rId25" w:history="1">
        <w:r w:rsidRPr="00D06D55">
          <w:rPr>
            <w:rStyle w:val="Hyperlink"/>
            <w:sz w:val="20"/>
            <w:szCs w:val="20"/>
          </w:rPr>
          <w:t>ColoradoBiz Magazine</w:t>
        </w:r>
      </w:hyperlink>
      <w:r w:rsidRPr="00D06D55">
        <w:rPr>
          <w:sz w:val="20"/>
          <w:szCs w:val="20"/>
        </w:rPr>
        <w:t xml:space="preserve">. </w:t>
      </w:r>
      <w:r w:rsidRPr="00F02EDC">
        <w:rPr>
          <w:rFonts w:asciiTheme="minorHAnsi" w:hAnsiTheme="minorHAnsi"/>
          <w:sz w:val="20"/>
          <w:szCs w:val="20"/>
          <w:lang w:val="en-US"/>
        </w:rPr>
        <w:t xml:space="preserve">She is the creator of the </w:t>
      </w:r>
      <w:hyperlink r:id="rId26" w:history="1">
        <w:r w:rsidRPr="00F02EDC">
          <w:rPr>
            <w:rStyle w:val="Hyperlink"/>
            <w:rFonts w:asciiTheme="minorHAnsi" w:hAnsiTheme="minorHAnsi"/>
            <w:sz w:val="20"/>
            <w:szCs w:val="20"/>
            <w:lang w:val="en-US"/>
          </w:rPr>
          <w:t xml:space="preserve">Board Guru™ eBooks </w:t>
        </w:r>
      </w:hyperlink>
      <w:r w:rsidRPr="00F02EDC">
        <w:rPr>
          <w:rFonts w:asciiTheme="minorHAnsi" w:hAnsiTheme="minorHAnsi"/>
          <w:sz w:val="20"/>
          <w:szCs w:val="20"/>
          <w:lang w:val="en-US"/>
        </w:rPr>
        <w:t> and the</w:t>
      </w:r>
      <w:r w:rsidRPr="00F02EDC">
        <w:rPr>
          <w:rFonts w:asciiTheme="minorHAnsi" w:hAnsiTheme="minorHAnsi"/>
          <w:i/>
          <w:iCs/>
          <w:sz w:val="20"/>
          <w:szCs w:val="20"/>
          <w:lang w:val="en-US"/>
        </w:rPr>
        <w:t xml:space="preserve"> </w:t>
      </w:r>
      <w:hyperlink r:id="rId27" w:history="1">
        <w:r w:rsidRPr="00F02EDC">
          <w:rPr>
            <w:rStyle w:val="Hyperlink"/>
            <w:rFonts w:asciiTheme="minorHAnsi" w:hAnsiTheme="minorHAnsi"/>
            <w:i/>
            <w:iCs/>
            <w:sz w:val="20"/>
            <w:szCs w:val="20"/>
            <w:lang w:val="en-US"/>
          </w:rPr>
          <w:t>Becoming a Public Company Director</w:t>
        </w:r>
      </w:hyperlink>
      <w:r w:rsidRPr="00F02EDC">
        <w:rPr>
          <w:rFonts w:asciiTheme="minorHAnsi" w:hAnsiTheme="minorHAnsi"/>
          <w:sz w:val="20"/>
          <w:szCs w:val="20"/>
          <w:lang w:val="en-US"/>
        </w:rPr>
        <w:t xml:space="preserve"> trilogy</w:t>
      </w:r>
      <w:r>
        <w:rPr>
          <w:rStyle w:val="Emphasis"/>
          <w:rFonts w:ascii="Trebuchet MS" w:hAnsi="Trebuchet MS"/>
          <w:lang w:val="en-US"/>
        </w:rPr>
        <w:t xml:space="preserve">. </w:t>
      </w:r>
      <w:r w:rsidRPr="00D06D55">
        <w:rPr>
          <w:sz w:val="20"/>
          <w:szCs w:val="20"/>
        </w:rPr>
        <w:t>Her company, Board Resource Services, has a website at www.eboardmember.com and www.eboardguru.com. Follow Tracy on Twitter @</w:t>
      </w:r>
      <w:proofErr w:type="spellStart"/>
      <w:r w:rsidRPr="00D06D55">
        <w:rPr>
          <w:sz w:val="20"/>
          <w:szCs w:val="20"/>
        </w:rPr>
        <w:t>BoardGuru</w:t>
      </w:r>
      <w:proofErr w:type="spellEnd"/>
      <w:r w:rsidRPr="00D06D55">
        <w:rPr>
          <w:sz w:val="20"/>
          <w:szCs w:val="20"/>
        </w:rPr>
        <w:t>. Headquartered in the Denver, Colorado area, Tracy is an avid hiker.</w:t>
      </w:r>
    </w:p>
    <w:p w:rsidR="00927458" w:rsidRDefault="00927458" w:rsidP="00927458">
      <w:pPr>
        <w:spacing w:line="360" w:lineRule="auto"/>
        <w:rPr>
          <w:rFonts w:asciiTheme="minorHAnsi" w:hAnsiTheme="minorHAnsi"/>
          <w:color w:val="000000"/>
          <w:shd w:val="clear" w:color="auto" w:fill="FFFFFF"/>
        </w:rPr>
      </w:pPr>
    </w:p>
    <w:p w:rsidR="00927458" w:rsidRPr="00367DB9" w:rsidRDefault="00927458" w:rsidP="00927458">
      <w:pPr>
        <w:spacing w:line="360" w:lineRule="auto"/>
        <w:rPr>
          <w:rFonts w:asciiTheme="minorHAnsi" w:hAnsiTheme="minorHAnsi"/>
          <w:b/>
          <w:color w:val="000000"/>
          <w:shd w:val="clear" w:color="auto" w:fill="FFFFFF"/>
        </w:rPr>
      </w:pPr>
      <w:r w:rsidRPr="00367DB9">
        <w:rPr>
          <w:rFonts w:asciiTheme="minorHAnsi" w:hAnsiTheme="minorHAnsi"/>
          <w:b/>
          <w:color w:val="000000"/>
          <w:shd w:val="clear" w:color="auto" w:fill="FFFFFF"/>
        </w:rPr>
        <w:t xml:space="preserve">Noel </w:t>
      </w:r>
      <w:proofErr w:type="spellStart"/>
      <w:r w:rsidRPr="00367DB9">
        <w:rPr>
          <w:rFonts w:asciiTheme="minorHAnsi" w:hAnsiTheme="minorHAnsi"/>
          <w:b/>
          <w:color w:val="000000"/>
          <w:shd w:val="clear" w:color="auto" w:fill="FFFFFF"/>
        </w:rPr>
        <w:t>Hawerth</w:t>
      </w:r>
      <w:proofErr w:type="spellEnd"/>
    </w:p>
    <w:p w:rsidR="00927458" w:rsidRPr="00D06D55" w:rsidRDefault="00927458" w:rsidP="00927458">
      <w:pPr>
        <w:rPr>
          <w:sz w:val="20"/>
          <w:szCs w:val="20"/>
        </w:rPr>
      </w:pPr>
      <w:r>
        <w:rPr>
          <w:rFonts w:asciiTheme="minorHAnsi" w:hAnsiTheme="minorHAnsi" w:cs="Arial"/>
          <w:noProof/>
          <w:color w:val="000000"/>
          <w:sz w:val="20"/>
          <w:szCs w:val="20"/>
        </w:rPr>
        <w:drawing>
          <wp:anchor distT="0" distB="0" distL="114300" distR="114300" simplePos="0" relativeHeight="251660288" behindDoc="1" locked="0" layoutInCell="1" allowOverlap="1">
            <wp:simplePos x="0" y="0"/>
            <wp:positionH relativeFrom="column">
              <wp:posOffset>7715885</wp:posOffset>
            </wp:positionH>
            <wp:positionV relativeFrom="paragraph">
              <wp:posOffset>149225</wp:posOffset>
            </wp:positionV>
            <wp:extent cx="1543050" cy="2000250"/>
            <wp:effectExtent l="19050" t="0" r="0" b="0"/>
            <wp:wrapTight wrapText="bothSides">
              <wp:wrapPolygon edited="0">
                <wp:start x="-267" y="0"/>
                <wp:lineTo x="-267" y="21394"/>
                <wp:lineTo x="21600" y="21394"/>
                <wp:lineTo x="21600" y="0"/>
                <wp:lineTo x="-267" y="0"/>
              </wp:wrapPolygon>
            </wp:wrapTight>
            <wp:docPr id="6" name="Picture 2" descr="C:\Users\barbaradischinger\AppData\Local\Microsoft\Windows\Temporary Internet Files\Content.Word\noel4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baradischinger\AppData\Local\Microsoft\Windows\Temporary Internet Files\Content.Word\noel4print.jpg"/>
                    <pic:cNvPicPr>
                      <a:picLocks noChangeAspect="1" noChangeArrowheads="1"/>
                    </pic:cNvPicPr>
                  </pic:nvPicPr>
                  <pic:blipFill>
                    <a:blip r:embed="rId28" cstate="print"/>
                    <a:srcRect/>
                    <a:stretch>
                      <a:fillRect/>
                    </a:stretch>
                  </pic:blipFill>
                  <pic:spPr bwMode="auto">
                    <a:xfrm>
                      <a:off x="0" y="0"/>
                      <a:ext cx="1543050" cy="2000250"/>
                    </a:xfrm>
                    <a:prstGeom prst="rect">
                      <a:avLst/>
                    </a:prstGeom>
                    <a:noFill/>
                    <a:ln w="9525">
                      <a:noFill/>
                      <a:miter lim="800000"/>
                      <a:headEnd/>
                      <a:tailEnd/>
                    </a:ln>
                  </pic:spPr>
                </pic:pic>
              </a:graphicData>
            </a:graphic>
          </wp:anchor>
        </w:drawing>
      </w:r>
      <w:r w:rsidRPr="00D06D55">
        <w:rPr>
          <w:rFonts w:asciiTheme="minorHAnsi" w:hAnsiTheme="minorHAnsi" w:cs="Arial"/>
          <w:color w:val="000000"/>
          <w:sz w:val="20"/>
          <w:szCs w:val="20"/>
          <w:shd w:val="clear" w:color="auto" w:fill="FFFFFF"/>
        </w:rPr>
        <w:t xml:space="preserve">Ms. E. Noël </w:t>
      </w:r>
      <w:proofErr w:type="spellStart"/>
      <w:r w:rsidRPr="00D06D55">
        <w:rPr>
          <w:rFonts w:asciiTheme="minorHAnsi" w:hAnsiTheme="minorHAnsi" w:cs="Arial"/>
          <w:color w:val="000000"/>
          <w:sz w:val="20"/>
          <w:szCs w:val="20"/>
          <w:shd w:val="clear" w:color="auto" w:fill="FFFFFF"/>
        </w:rPr>
        <w:t>Harwerth</w:t>
      </w:r>
      <w:proofErr w:type="spellEnd"/>
      <w:r w:rsidRPr="00D06D55">
        <w:rPr>
          <w:rFonts w:asciiTheme="minorHAnsi" w:hAnsiTheme="minorHAnsi" w:cs="Arial"/>
          <w:color w:val="000000"/>
          <w:sz w:val="20"/>
          <w:szCs w:val="20"/>
          <w:shd w:val="clear" w:color="auto" w:fill="FFFFFF"/>
        </w:rPr>
        <w:t xml:space="preserve"> </w:t>
      </w:r>
      <w:r w:rsidRPr="00D06D55">
        <w:rPr>
          <w:sz w:val="20"/>
          <w:szCs w:val="20"/>
        </w:rPr>
        <w:t xml:space="preserve">is a non-executive director of </w:t>
      </w:r>
      <w:r w:rsidRPr="00D06D55">
        <w:rPr>
          <w:b/>
          <w:bCs/>
          <w:sz w:val="20"/>
          <w:szCs w:val="20"/>
        </w:rPr>
        <w:t>Standard Life plc</w:t>
      </w:r>
      <w:r w:rsidRPr="00D06D55">
        <w:rPr>
          <w:sz w:val="20"/>
          <w:szCs w:val="20"/>
        </w:rPr>
        <w:t xml:space="preserve"> (Chairman, Risk Committee; member, Audit committee), </w:t>
      </w:r>
      <w:proofErr w:type="spellStart"/>
      <w:r w:rsidRPr="00D06D55">
        <w:rPr>
          <w:b/>
          <w:sz w:val="20"/>
          <w:szCs w:val="20"/>
        </w:rPr>
        <w:t>Alent</w:t>
      </w:r>
      <w:proofErr w:type="spellEnd"/>
      <w:r w:rsidRPr="00D06D55">
        <w:rPr>
          <w:b/>
          <w:sz w:val="20"/>
          <w:szCs w:val="20"/>
        </w:rPr>
        <w:t xml:space="preserve"> (</w:t>
      </w:r>
      <w:r w:rsidRPr="00D06D55">
        <w:rPr>
          <w:sz w:val="20"/>
          <w:szCs w:val="20"/>
        </w:rPr>
        <w:t>Chairman, Remuneration committee)</w:t>
      </w:r>
      <w:r w:rsidRPr="00D06D55">
        <w:rPr>
          <w:b/>
          <w:sz w:val="20"/>
          <w:szCs w:val="20"/>
        </w:rPr>
        <w:t xml:space="preserve">, </w:t>
      </w:r>
      <w:r w:rsidRPr="00D06D55">
        <w:rPr>
          <w:sz w:val="20"/>
          <w:szCs w:val="20"/>
        </w:rPr>
        <w:t xml:space="preserve">and </w:t>
      </w:r>
      <w:r w:rsidRPr="00D06D55">
        <w:rPr>
          <w:b/>
          <w:sz w:val="20"/>
          <w:szCs w:val="20"/>
        </w:rPr>
        <w:t xml:space="preserve">The London Metals </w:t>
      </w:r>
      <w:proofErr w:type="gramStart"/>
      <w:r w:rsidRPr="00D06D55">
        <w:rPr>
          <w:b/>
          <w:sz w:val="20"/>
          <w:szCs w:val="20"/>
        </w:rPr>
        <w:t>Exchange</w:t>
      </w:r>
      <w:r w:rsidRPr="00D06D55">
        <w:rPr>
          <w:sz w:val="20"/>
          <w:szCs w:val="20"/>
        </w:rPr>
        <w:t>(</w:t>
      </w:r>
      <w:proofErr w:type="gramEnd"/>
      <w:r w:rsidRPr="00D06D55">
        <w:rPr>
          <w:sz w:val="20"/>
          <w:szCs w:val="20"/>
        </w:rPr>
        <w:t>member, Audit committee).</w:t>
      </w:r>
    </w:p>
    <w:p w:rsidR="00927458" w:rsidRPr="00D06D55" w:rsidRDefault="00927458" w:rsidP="00927458">
      <w:pPr>
        <w:rPr>
          <w:b/>
          <w:sz w:val="20"/>
          <w:szCs w:val="20"/>
        </w:rPr>
      </w:pPr>
    </w:p>
    <w:p w:rsidR="00927458" w:rsidRPr="00D06D55" w:rsidRDefault="00927458" w:rsidP="00927458">
      <w:pPr>
        <w:rPr>
          <w:b/>
          <w:bCs/>
          <w:sz w:val="20"/>
          <w:szCs w:val="20"/>
        </w:rPr>
      </w:pPr>
      <w:r w:rsidRPr="00D06D55">
        <w:rPr>
          <w:sz w:val="20"/>
          <w:szCs w:val="20"/>
        </w:rPr>
        <w:t xml:space="preserve">She is Chairman of </w:t>
      </w:r>
      <w:r w:rsidRPr="00D06D55">
        <w:rPr>
          <w:b/>
          <w:sz w:val="20"/>
          <w:szCs w:val="20"/>
        </w:rPr>
        <w:t xml:space="preserve">GE Capital Bank Europe </w:t>
      </w:r>
      <w:r w:rsidRPr="00D06D55">
        <w:rPr>
          <w:sz w:val="20"/>
          <w:szCs w:val="20"/>
        </w:rPr>
        <w:t xml:space="preserve">and also serves as Chairman of </w:t>
      </w:r>
      <w:r w:rsidRPr="00D06D55">
        <w:rPr>
          <w:b/>
          <w:sz w:val="20"/>
          <w:szCs w:val="20"/>
        </w:rPr>
        <w:t>Sumitomo Mitsui Bank</w:t>
      </w:r>
      <w:r w:rsidRPr="00D06D55">
        <w:rPr>
          <w:sz w:val="20"/>
          <w:szCs w:val="20"/>
        </w:rPr>
        <w:t xml:space="preserve"> (Europe Middle East and Africa). In 2006 she was appointed by the </w:t>
      </w:r>
      <w:proofErr w:type="spellStart"/>
      <w:r w:rsidRPr="00D06D55">
        <w:rPr>
          <w:sz w:val="20"/>
          <w:szCs w:val="20"/>
        </w:rPr>
        <w:t>U.K.Government</w:t>
      </w:r>
      <w:proofErr w:type="spellEnd"/>
      <w:r w:rsidRPr="00D06D55">
        <w:rPr>
          <w:sz w:val="20"/>
          <w:szCs w:val="20"/>
        </w:rPr>
        <w:t xml:space="preserve"> to the Board of the </w:t>
      </w:r>
      <w:r w:rsidRPr="00D06D55">
        <w:rPr>
          <w:bCs/>
          <w:sz w:val="20"/>
          <w:szCs w:val="20"/>
        </w:rPr>
        <w:t xml:space="preserve">Tote, and served on the board until its privatization. She has served on the boards of Corus, </w:t>
      </w:r>
      <w:proofErr w:type="spellStart"/>
      <w:r w:rsidRPr="00D06D55">
        <w:rPr>
          <w:bCs/>
          <w:sz w:val="20"/>
          <w:szCs w:val="20"/>
        </w:rPr>
        <w:t>Logica</w:t>
      </w:r>
      <w:proofErr w:type="spellEnd"/>
      <w:r w:rsidRPr="00D06D55">
        <w:rPr>
          <w:bCs/>
          <w:sz w:val="20"/>
          <w:szCs w:val="20"/>
        </w:rPr>
        <w:t xml:space="preserve">, </w:t>
      </w:r>
      <w:proofErr w:type="spellStart"/>
      <w:r w:rsidRPr="00D06D55">
        <w:rPr>
          <w:bCs/>
          <w:sz w:val="20"/>
          <w:szCs w:val="20"/>
        </w:rPr>
        <w:t>Impellam</w:t>
      </w:r>
      <w:proofErr w:type="spellEnd"/>
      <w:r w:rsidRPr="00D06D55">
        <w:rPr>
          <w:bCs/>
          <w:sz w:val="20"/>
          <w:szCs w:val="20"/>
        </w:rPr>
        <w:t xml:space="preserve"> Group, RSA Insurance Group and Dominion Diamond Corporation.</w:t>
      </w:r>
    </w:p>
    <w:p w:rsidR="00927458" w:rsidRPr="00D06D55" w:rsidRDefault="00927458" w:rsidP="00927458">
      <w:pPr>
        <w:rPr>
          <w:bCs/>
          <w:sz w:val="20"/>
          <w:szCs w:val="20"/>
        </w:rPr>
      </w:pPr>
    </w:p>
    <w:p w:rsidR="00927458" w:rsidRPr="00D06D55" w:rsidRDefault="00927458" w:rsidP="00927458">
      <w:pPr>
        <w:rPr>
          <w:sz w:val="20"/>
          <w:szCs w:val="20"/>
        </w:rPr>
      </w:pPr>
      <w:r w:rsidRPr="00D06D55">
        <w:rPr>
          <w:bCs/>
          <w:sz w:val="20"/>
          <w:szCs w:val="20"/>
        </w:rPr>
        <w:t xml:space="preserve">Mrs. </w:t>
      </w:r>
      <w:proofErr w:type="spellStart"/>
      <w:r w:rsidRPr="00D06D55">
        <w:rPr>
          <w:bCs/>
          <w:sz w:val="20"/>
          <w:szCs w:val="20"/>
        </w:rPr>
        <w:t>Harwerth</w:t>
      </w:r>
      <w:proofErr w:type="spellEnd"/>
      <w:r w:rsidRPr="00D06D55">
        <w:rPr>
          <w:bCs/>
          <w:sz w:val="20"/>
          <w:szCs w:val="20"/>
        </w:rPr>
        <w:t xml:space="preserve"> served as Partnership Director of London Underground from 2003-2008, having previously served on the Board of Transport for London, where she chaired the Audit Committee. She also served on the board of Anglo Irish Bank in 2007-8.</w:t>
      </w:r>
    </w:p>
    <w:p w:rsidR="00927458" w:rsidRPr="00D06D55" w:rsidRDefault="00927458" w:rsidP="00927458">
      <w:pPr>
        <w:rPr>
          <w:sz w:val="20"/>
          <w:szCs w:val="20"/>
        </w:rPr>
      </w:pPr>
    </w:p>
    <w:p w:rsidR="00927458" w:rsidRPr="00D06D55" w:rsidRDefault="00927458" w:rsidP="00927458">
      <w:pPr>
        <w:jc w:val="both"/>
        <w:rPr>
          <w:sz w:val="20"/>
          <w:szCs w:val="20"/>
        </w:rPr>
      </w:pPr>
      <w:r w:rsidRPr="00D06D55">
        <w:rPr>
          <w:sz w:val="20"/>
          <w:szCs w:val="20"/>
        </w:rPr>
        <w:t xml:space="preserve">From 1998 to 2003 Mrs. </w:t>
      </w:r>
      <w:proofErr w:type="spellStart"/>
      <w:r w:rsidRPr="00D06D55">
        <w:rPr>
          <w:sz w:val="20"/>
          <w:szCs w:val="20"/>
        </w:rPr>
        <w:t>Harwerth</w:t>
      </w:r>
      <w:proofErr w:type="spellEnd"/>
      <w:r w:rsidRPr="00D06D55">
        <w:rPr>
          <w:sz w:val="20"/>
          <w:szCs w:val="20"/>
        </w:rPr>
        <w:t xml:space="preserve"> was Chief Operating Officer of </w:t>
      </w:r>
      <w:r w:rsidRPr="00D06D55">
        <w:rPr>
          <w:b/>
          <w:bCs/>
          <w:sz w:val="20"/>
          <w:szCs w:val="20"/>
        </w:rPr>
        <w:t>Citibank</w:t>
      </w:r>
      <w:r w:rsidRPr="00D06D55">
        <w:rPr>
          <w:sz w:val="20"/>
          <w:szCs w:val="20"/>
        </w:rPr>
        <w:t xml:space="preserve"> </w:t>
      </w:r>
      <w:r w:rsidRPr="00D06D55">
        <w:rPr>
          <w:b/>
          <w:bCs/>
          <w:sz w:val="20"/>
          <w:szCs w:val="20"/>
        </w:rPr>
        <w:t>International PLC</w:t>
      </w:r>
      <w:r w:rsidRPr="00D06D55">
        <w:rPr>
          <w:sz w:val="20"/>
          <w:szCs w:val="20"/>
        </w:rPr>
        <w:t xml:space="preserve"> in London. She was responsible for Infrastructure and Governance of Europe’s first truly pan European bank, with branches in 18 countries. </w:t>
      </w:r>
    </w:p>
    <w:p w:rsidR="00927458" w:rsidRPr="00D06D55" w:rsidRDefault="00927458" w:rsidP="00927458">
      <w:pPr>
        <w:jc w:val="both"/>
        <w:rPr>
          <w:sz w:val="20"/>
          <w:szCs w:val="20"/>
        </w:rPr>
      </w:pPr>
    </w:p>
    <w:p w:rsidR="00927458" w:rsidRPr="00D06D55" w:rsidRDefault="00927458" w:rsidP="00927458">
      <w:pPr>
        <w:jc w:val="both"/>
        <w:rPr>
          <w:sz w:val="20"/>
          <w:szCs w:val="20"/>
        </w:rPr>
      </w:pPr>
      <w:r w:rsidRPr="00D06D55">
        <w:rPr>
          <w:sz w:val="20"/>
          <w:szCs w:val="20"/>
        </w:rPr>
        <w:t xml:space="preserve">Prior to joining Citicorp in 1988, Mrs. </w:t>
      </w:r>
      <w:proofErr w:type="spellStart"/>
      <w:r w:rsidRPr="00D06D55">
        <w:rPr>
          <w:sz w:val="20"/>
          <w:szCs w:val="20"/>
        </w:rPr>
        <w:t>Harwerth</w:t>
      </w:r>
      <w:proofErr w:type="spellEnd"/>
      <w:r w:rsidRPr="00D06D55">
        <w:rPr>
          <w:sz w:val="20"/>
          <w:szCs w:val="20"/>
        </w:rPr>
        <w:t xml:space="preserve"> held senior positions in </w:t>
      </w:r>
      <w:r w:rsidRPr="00D06D55">
        <w:rPr>
          <w:b/>
          <w:bCs/>
          <w:sz w:val="20"/>
          <w:szCs w:val="20"/>
        </w:rPr>
        <w:t>Dun &amp;</w:t>
      </w:r>
      <w:r w:rsidRPr="00D06D55">
        <w:rPr>
          <w:sz w:val="20"/>
          <w:szCs w:val="20"/>
        </w:rPr>
        <w:t xml:space="preserve"> </w:t>
      </w:r>
      <w:r w:rsidRPr="00D06D55">
        <w:rPr>
          <w:b/>
          <w:bCs/>
          <w:sz w:val="20"/>
          <w:szCs w:val="20"/>
        </w:rPr>
        <w:t>Bradstreet</w:t>
      </w:r>
      <w:r w:rsidRPr="00D06D55">
        <w:rPr>
          <w:sz w:val="20"/>
          <w:szCs w:val="20"/>
        </w:rPr>
        <w:t xml:space="preserve"> and </w:t>
      </w:r>
      <w:r w:rsidRPr="00D06D55">
        <w:rPr>
          <w:b/>
          <w:bCs/>
          <w:sz w:val="20"/>
          <w:szCs w:val="20"/>
        </w:rPr>
        <w:t>Kennecott Copper Corporation</w:t>
      </w:r>
      <w:r w:rsidRPr="00D06D55">
        <w:rPr>
          <w:sz w:val="20"/>
          <w:szCs w:val="20"/>
        </w:rPr>
        <w:t>, where she worked on large, complex international mining transactions.</w:t>
      </w:r>
    </w:p>
    <w:p w:rsidR="00927458" w:rsidRPr="00C53943" w:rsidRDefault="00927458" w:rsidP="00927458">
      <w:pPr>
        <w:jc w:val="both"/>
      </w:pPr>
    </w:p>
    <w:p w:rsidR="00927458" w:rsidRPr="00D06D55" w:rsidRDefault="00927458" w:rsidP="00927458">
      <w:pPr>
        <w:jc w:val="both"/>
        <w:rPr>
          <w:sz w:val="20"/>
          <w:szCs w:val="20"/>
        </w:rPr>
      </w:pPr>
      <w:r w:rsidRPr="00D06D55">
        <w:rPr>
          <w:sz w:val="20"/>
          <w:szCs w:val="20"/>
        </w:rPr>
        <w:t xml:space="preserve">Mrs. </w:t>
      </w:r>
      <w:proofErr w:type="spellStart"/>
      <w:r w:rsidRPr="00D06D55">
        <w:rPr>
          <w:sz w:val="20"/>
          <w:szCs w:val="20"/>
        </w:rPr>
        <w:t>Harwerth</w:t>
      </w:r>
      <w:proofErr w:type="spellEnd"/>
      <w:r w:rsidRPr="00D06D55">
        <w:rPr>
          <w:sz w:val="20"/>
          <w:szCs w:val="20"/>
        </w:rPr>
        <w:t xml:space="preserve"> was educated at the University of Texas in Austin and holds a </w:t>
      </w:r>
      <w:proofErr w:type="spellStart"/>
      <w:r w:rsidRPr="00D06D55">
        <w:rPr>
          <w:sz w:val="20"/>
          <w:szCs w:val="20"/>
        </w:rPr>
        <w:t>Jurisdoctor</w:t>
      </w:r>
      <w:proofErr w:type="spellEnd"/>
      <w:r w:rsidRPr="00D06D55">
        <w:rPr>
          <w:sz w:val="20"/>
          <w:szCs w:val="20"/>
        </w:rPr>
        <w:t xml:space="preserve"> degree from the University </w:t>
      </w:r>
      <w:proofErr w:type="gramStart"/>
      <w:r w:rsidRPr="00D06D55">
        <w:rPr>
          <w:sz w:val="20"/>
          <w:szCs w:val="20"/>
        </w:rPr>
        <w:t>of</w:t>
      </w:r>
      <w:proofErr w:type="gramEnd"/>
      <w:r w:rsidRPr="00D06D55">
        <w:rPr>
          <w:sz w:val="20"/>
          <w:szCs w:val="20"/>
        </w:rPr>
        <w:t xml:space="preserve"> Texas Law School. She holds both U.S. and British citizenship.</w:t>
      </w:r>
    </w:p>
    <w:p w:rsidR="00927458" w:rsidRPr="00D06D55" w:rsidRDefault="00927458" w:rsidP="00927458">
      <w:pPr>
        <w:jc w:val="both"/>
        <w:rPr>
          <w:sz w:val="20"/>
          <w:szCs w:val="20"/>
        </w:rPr>
      </w:pPr>
    </w:p>
    <w:p w:rsidR="00927458" w:rsidRPr="00D06D55" w:rsidRDefault="00927458" w:rsidP="00927458">
      <w:pPr>
        <w:jc w:val="both"/>
        <w:rPr>
          <w:sz w:val="20"/>
          <w:szCs w:val="20"/>
        </w:rPr>
      </w:pPr>
      <w:r w:rsidRPr="00D06D55">
        <w:rPr>
          <w:sz w:val="20"/>
          <w:szCs w:val="20"/>
        </w:rPr>
        <w:t xml:space="preserve">Mrs. </w:t>
      </w:r>
      <w:proofErr w:type="spellStart"/>
      <w:r w:rsidRPr="00D06D55">
        <w:rPr>
          <w:sz w:val="20"/>
          <w:szCs w:val="20"/>
        </w:rPr>
        <w:t>Harwerth</w:t>
      </w:r>
      <w:proofErr w:type="spellEnd"/>
      <w:r w:rsidRPr="00D06D55">
        <w:rPr>
          <w:sz w:val="20"/>
          <w:szCs w:val="20"/>
        </w:rPr>
        <w:t xml:space="preserve"> is a liveryman of the Worshipful Company of International Bankers, board member of The Committee of 200, and member of the International Women’s Forum. She is Chairman of the UK Chapter of Women Corporate Directors. She served on the U.S./</w:t>
      </w:r>
      <w:proofErr w:type="spellStart"/>
      <w:r w:rsidRPr="00D06D55">
        <w:rPr>
          <w:sz w:val="20"/>
          <w:szCs w:val="20"/>
        </w:rPr>
        <w:t>U.K.Fulbright</w:t>
      </w:r>
      <w:proofErr w:type="spellEnd"/>
      <w:r w:rsidRPr="00D06D55">
        <w:rPr>
          <w:sz w:val="20"/>
          <w:szCs w:val="20"/>
        </w:rPr>
        <w:t xml:space="preserve"> Commission, the Campaign Board of Historic Royal Palaces, and was a member of the Women’s Leadership Board of Harvard’s Kennedy School of Government. </w:t>
      </w:r>
    </w:p>
    <w:p w:rsidR="00927458" w:rsidRDefault="00927458" w:rsidP="00927458">
      <w:pPr>
        <w:jc w:val="both"/>
        <w:rPr>
          <w:rFonts w:asciiTheme="minorHAnsi" w:hAnsiTheme="minorHAnsi" w:cs="Arial"/>
          <w:color w:val="000000"/>
          <w:shd w:val="clear" w:color="auto" w:fill="FFFFFF"/>
        </w:rPr>
      </w:pPr>
    </w:p>
    <w:p w:rsidR="00927458" w:rsidRDefault="00927458" w:rsidP="00927458">
      <w:pPr>
        <w:rPr>
          <w:rFonts w:asciiTheme="minorHAnsi" w:hAnsiTheme="minorHAnsi" w:cs="Arial"/>
          <w:color w:val="000000"/>
          <w:shd w:val="clear" w:color="auto" w:fill="FFFFFF"/>
        </w:rPr>
      </w:pPr>
      <w:r>
        <w:rPr>
          <w:rFonts w:asciiTheme="minorHAnsi" w:hAnsiTheme="minorHAnsi" w:cs="Arial"/>
          <w:color w:val="000000"/>
          <w:shd w:val="clear" w:color="auto" w:fill="FFFFFF"/>
        </w:rPr>
        <w:br w:type="page"/>
      </w:r>
    </w:p>
    <w:p w:rsidR="00927458" w:rsidRPr="00C53943" w:rsidRDefault="00927458" w:rsidP="00927458">
      <w:pPr>
        <w:jc w:val="both"/>
        <w:rPr>
          <w:rFonts w:asciiTheme="minorHAnsi" w:hAnsiTheme="minorHAnsi" w:cs="Arial"/>
          <w:color w:val="000000"/>
          <w:shd w:val="clear" w:color="auto" w:fill="FFFFFF"/>
        </w:rPr>
      </w:pPr>
      <w:r>
        <w:rPr>
          <w:rFonts w:asciiTheme="minorHAnsi" w:hAnsiTheme="minorHAnsi" w:cs="Arial"/>
          <w:noProof/>
          <w:color w:val="000000"/>
        </w:rPr>
        <w:lastRenderedPageBreak/>
        <w:drawing>
          <wp:anchor distT="0" distB="0" distL="114300" distR="114300" simplePos="0" relativeHeight="251662336" behindDoc="1" locked="0" layoutInCell="1" allowOverlap="1">
            <wp:simplePos x="0" y="0"/>
            <wp:positionH relativeFrom="column">
              <wp:posOffset>635</wp:posOffset>
            </wp:positionH>
            <wp:positionV relativeFrom="paragraph">
              <wp:posOffset>271780</wp:posOffset>
            </wp:positionV>
            <wp:extent cx="1257300" cy="1257300"/>
            <wp:effectExtent l="19050" t="0" r="0" b="0"/>
            <wp:wrapTight wrapText="bothSides">
              <wp:wrapPolygon edited="0">
                <wp:start x="-327" y="0"/>
                <wp:lineTo x="-327" y="21273"/>
                <wp:lineTo x="21600" y="21273"/>
                <wp:lineTo x="21600" y="0"/>
                <wp:lineTo x="-327" y="0"/>
              </wp:wrapPolygon>
            </wp:wrapTight>
            <wp:docPr id="13" name="Picture 1">
              <a:hlinkClick xmlns:a="http://schemas.openxmlformats.org/drawingml/2006/main" r:id="rId29" tooltip="See Intranet for image placement guida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57300" cy="1257300"/>
                    </a:xfrm>
                    <a:prstGeom prst="rect">
                      <a:avLst/>
                    </a:prstGeom>
                  </pic:spPr>
                </pic:pic>
              </a:graphicData>
            </a:graphic>
          </wp:anchor>
        </w:drawing>
      </w:r>
    </w:p>
    <w:p w:rsidR="00927458" w:rsidRDefault="00927458" w:rsidP="00927458">
      <w:pPr>
        <w:pStyle w:val="ProfilePosition"/>
      </w:pPr>
      <w:r>
        <w:rPr>
          <w:rStyle w:val="ProfileNameCharChar"/>
        </w:rPr>
        <w:t>Rebecca Major</w:t>
      </w:r>
      <w:r>
        <w:t xml:space="preserve"> Partner, Herbert Smith </w:t>
      </w:r>
      <w:proofErr w:type="spellStart"/>
      <w:r>
        <w:t>Freehills</w:t>
      </w:r>
      <w:proofErr w:type="spellEnd"/>
    </w:p>
    <w:p w:rsidR="00927458" w:rsidRDefault="00927458" w:rsidP="00927458">
      <w:pPr>
        <w:pStyle w:val="PracticeGroupLocation"/>
      </w:pPr>
      <w:r>
        <w:t>Energy, Mining and Infrastructure, Paris</w:t>
      </w:r>
    </w:p>
    <w:p w:rsidR="00927458" w:rsidRPr="00D979B7" w:rsidRDefault="00927458" w:rsidP="00927458">
      <w:pPr>
        <w:pStyle w:val="ProfileNumber"/>
        <w:rPr>
          <w:lang w:val="fr-FR"/>
        </w:rPr>
      </w:pPr>
      <w:r w:rsidRPr="00D979B7">
        <w:rPr>
          <w:lang w:val="fr-FR"/>
        </w:rPr>
        <w:t>T +</w:t>
      </w:r>
      <w:r>
        <w:rPr>
          <w:lang w:val="fr-FR"/>
        </w:rPr>
        <w:t>33 1 53 57 78 31</w:t>
      </w:r>
    </w:p>
    <w:p w:rsidR="00927458" w:rsidRPr="00D979B7" w:rsidRDefault="00927458" w:rsidP="00927458">
      <w:pPr>
        <w:pStyle w:val="ProfileEmail"/>
        <w:tabs>
          <w:tab w:val="left" w:pos="2291"/>
        </w:tabs>
        <w:rPr>
          <w:lang w:val="fr-FR"/>
        </w:rPr>
      </w:pPr>
      <w:r>
        <w:rPr>
          <w:lang w:val="fr-FR"/>
        </w:rPr>
        <w:t>rebecca.m</w:t>
      </w:r>
      <w:r w:rsidRPr="00D979B7">
        <w:rPr>
          <w:lang w:val="fr-FR"/>
        </w:rPr>
        <w:t xml:space="preserve">ajor@hsf.com </w:t>
      </w:r>
    </w:p>
    <w:p w:rsidR="00927458" w:rsidRDefault="00927458" w:rsidP="00927458">
      <w:pPr>
        <w:pStyle w:val="ProfileHeading"/>
      </w:pPr>
      <w:r>
        <w:t>Experience</w:t>
      </w:r>
    </w:p>
    <w:p w:rsidR="00927458" w:rsidRPr="00405A8C" w:rsidRDefault="00927458" w:rsidP="00927458">
      <w:pPr>
        <w:jc w:val="both"/>
        <w:rPr>
          <w:rFonts w:eastAsia="Times New Roman"/>
          <w:sz w:val="20"/>
          <w:szCs w:val="20"/>
        </w:rPr>
      </w:pPr>
      <w:r w:rsidRPr="00405A8C">
        <w:rPr>
          <w:rFonts w:eastAsia="Times New Roman"/>
          <w:sz w:val="20"/>
          <w:szCs w:val="20"/>
        </w:rPr>
        <w:t xml:space="preserve">Rebecca has built a leading reputation over the past 20 years' experience advising on acquisitions, disposals, projects and project finance transactions for the mining and energy industries throughout the world, with a particular focus on the emerging markets. She has developed an in-depth knowledge of the African environment in particular, having advised on natural resource </w:t>
      </w:r>
      <w:proofErr w:type="gramStart"/>
      <w:r w:rsidRPr="00405A8C">
        <w:rPr>
          <w:rFonts w:eastAsia="Times New Roman"/>
          <w:sz w:val="20"/>
          <w:szCs w:val="20"/>
        </w:rPr>
        <w:t>and</w:t>
      </w:r>
      <w:proofErr w:type="gramEnd"/>
      <w:r w:rsidRPr="00405A8C">
        <w:rPr>
          <w:rFonts w:eastAsia="Times New Roman"/>
          <w:sz w:val="20"/>
          <w:szCs w:val="20"/>
        </w:rPr>
        <w:t xml:space="preserve"> energy projects and transactions in at least 37 African countries.</w:t>
      </w:r>
    </w:p>
    <w:p w:rsidR="00927458" w:rsidRPr="00405A8C" w:rsidRDefault="00927458" w:rsidP="00927458">
      <w:pPr>
        <w:jc w:val="both"/>
        <w:rPr>
          <w:rFonts w:eastAsia="Times New Roman"/>
          <w:sz w:val="20"/>
          <w:szCs w:val="20"/>
        </w:rPr>
      </w:pPr>
      <w:r w:rsidRPr="00405A8C">
        <w:rPr>
          <w:rFonts w:eastAsia="Times New Roman"/>
          <w:sz w:val="20"/>
          <w:szCs w:val="20"/>
        </w:rPr>
        <w:t xml:space="preserve">Rebecca is a British national who is qualified to </w:t>
      </w:r>
      <w:proofErr w:type="gramStart"/>
      <w:r w:rsidRPr="00405A8C">
        <w:rPr>
          <w:rFonts w:eastAsia="Times New Roman"/>
          <w:sz w:val="20"/>
          <w:szCs w:val="20"/>
        </w:rPr>
        <w:t>advise</w:t>
      </w:r>
      <w:proofErr w:type="gramEnd"/>
      <w:r w:rsidRPr="00405A8C">
        <w:rPr>
          <w:rFonts w:eastAsia="Times New Roman"/>
          <w:sz w:val="20"/>
          <w:szCs w:val="20"/>
        </w:rPr>
        <w:t xml:space="preserve"> on both English and French law and is fluent in French. She has been a Herbert Smith </w:t>
      </w:r>
      <w:proofErr w:type="spellStart"/>
      <w:r w:rsidRPr="00405A8C">
        <w:rPr>
          <w:rFonts w:eastAsia="Times New Roman"/>
          <w:sz w:val="20"/>
          <w:szCs w:val="20"/>
        </w:rPr>
        <w:t>Freehills</w:t>
      </w:r>
      <w:proofErr w:type="spellEnd"/>
      <w:r w:rsidRPr="00405A8C">
        <w:rPr>
          <w:rFonts w:eastAsia="Times New Roman"/>
          <w:sz w:val="20"/>
          <w:szCs w:val="20"/>
        </w:rPr>
        <w:t xml:space="preserve"> lawyer for 18 years (13 years in Paris, 5 years in Tokyo, where she ran our Tokyo energy and mining team) and a partner for 10 years.</w:t>
      </w:r>
    </w:p>
    <w:p w:rsidR="00927458" w:rsidRPr="00405A8C" w:rsidRDefault="00927458" w:rsidP="00927458">
      <w:pPr>
        <w:jc w:val="both"/>
        <w:rPr>
          <w:rFonts w:eastAsia="Times New Roman"/>
          <w:sz w:val="20"/>
          <w:szCs w:val="20"/>
        </w:rPr>
      </w:pPr>
      <w:r w:rsidRPr="00405A8C">
        <w:rPr>
          <w:rFonts w:eastAsia="Times New Roman"/>
          <w:sz w:val="20"/>
          <w:szCs w:val="20"/>
        </w:rPr>
        <w:t xml:space="preserve">Rebecca is consistently ranked as a leading lawyer for Energy and Natural Resources, Projects and Project Finance in the leading legal directories. Clients describe her as 'a knowledgeable, diligent and user-friendly advisor' </w:t>
      </w:r>
      <w:proofErr w:type="gramStart"/>
      <w:r w:rsidRPr="00405A8C">
        <w:rPr>
          <w:rFonts w:eastAsia="Times New Roman"/>
          <w:sz w:val="20"/>
          <w:szCs w:val="20"/>
        </w:rPr>
        <w:t>" (</w:t>
      </w:r>
      <w:proofErr w:type="gramEnd"/>
      <w:r w:rsidRPr="00405A8C">
        <w:rPr>
          <w:rFonts w:eastAsia="Times New Roman"/>
          <w:sz w:val="20"/>
          <w:szCs w:val="20"/>
        </w:rPr>
        <w:t xml:space="preserve">Who's Who Legal 2015). </w:t>
      </w:r>
    </w:p>
    <w:p w:rsidR="00927458" w:rsidRPr="00405A8C" w:rsidRDefault="00927458" w:rsidP="00927458">
      <w:pPr>
        <w:jc w:val="both"/>
        <w:rPr>
          <w:rFonts w:asciiTheme="minorHAnsi" w:hAnsiTheme="minorHAnsi"/>
          <w:sz w:val="20"/>
          <w:szCs w:val="20"/>
          <w:shd w:val="clear" w:color="auto" w:fill="FFFFFF"/>
        </w:rPr>
      </w:pPr>
      <w:r w:rsidRPr="00405A8C">
        <w:rPr>
          <w:rFonts w:eastAsia="Times New Roman"/>
          <w:sz w:val="20"/>
          <w:szCs w:val="20"/>
        </w:rPr>
        <w:t xml:space="preserve">Rebecca's global experience includes advising Sumitomo Corporation on its investment and ongoing involvement in the </w:t>
      </w:r>
      <w:proofErr w:type="spellStart"/>
      <w:r w:rsidRPr="00405A8C">
        <w:rPr>
          <w:rFonts w:eastAsia="Times New Roman"/>
          <w:sz w:val="20"/>
          <w:szCs w:val="20"/>
        </w:rPr>
        <w:t>Ambatovy</w:t>
      </w:r>
      <w:proofErr w:type="spellEnd"/>
      <w:r w:rsidRPr="00405A8C">
        <w:rPr>
          <w:rFonts w:eastAsia="Times New Roman"/>
          <w:sz w:val="20"/>
          <w:szCs w:val="20"/>
        </w:rPr>
        <w:t xml:space="preserve"> nickel mining project in Madagascar; Mitsui on the negotiation of the acquisition from Vale of an interest in the </w:t>
      </w:r>
      <w:proofErr w:type="spellStart"/>
      <w:r w:rsidRPr="00405A8C">
        <w:rPr>
          <w:rFonts w:eastAsia="Times New Roman"/>
          <w:sz w:val="20"/>
          <w:szCs w:val="20"/>
        </w:rPr>
        <w:t>Moatize</w:t>
      </w:r>
      <w:proofErr w:type="spellEnd"/>
      <w:r w:rsidRPr="00405A8C">
        <w:rPr>
          <w:rFonts w:eastAsia="Times New Roman"/>
          <w:sz w:val="20"/>
          <w:szCs w:val="20"/>
        </w:rPr>
        <w:t xml:space="preserve"> coal mine in Mozambique and in the related </w:t>
      </w:r>
      <w:proofErr w:type="spellStart"/>
      <w:r w:rsidRPr="00405A8C">
        <w:rPr>
          <w:rFonts w:eastAsia="Times New Roman"/>
          <w:sz w:val="20"/>
          <w:szCs w:val="20"/>
        </w:rPr>
        <w:t>Nacala</w:t>
      </w:r>
      <w:proofErr w:type="spellEnd"/>
      <w:r w:rsidRPr="00405A8C">
        <w:rPr>
          <w:rFonts w:eastAsia="Times New Roman"/>
          <w:sz w:val="20"/>
          <w:szCs w:val="20"/>
        </w:rPr>
        <w:t xml:space="preserve"> rail and port; </w:t>
      </w:r>
      <w:proofErr w:type="spellStart"/>
      <w:r w:rsidRPr="00405A8C">
        <w:rPr>
          <w:rFonts w:eastAsia="Times New Roman"/>
          <w:sz w:val="20"/>
          <w:szCs w:val="20"/>
        </w:rPr>
        <w:t>Auplata</w:t>
      </w:r>
      <w:proofErr w:type="spellEnd"/>
      <w:r w:rsidRPr="00405A8C">
        <w:rPr>
          <w:rFonts w:eastAsia="Times New Roman"/>
          <w:sz w:val="20"/>
          <w:szCs w:val="20"/>
        </w:rPr>
        <w:t xml:space="preserve"> SA on a joint venture with Newmont </w:t>
      </w:r>
      <w:proofErr w:type="spellStart"/>
      <w:r w:rsidRPr="00405A8C">
        <w:rPr>
          <w:rFonts w:eastAsia="Times New Roman"/>
          <w:sz w:val="20"/>
          <w:szCs w:val="20"/>
        </w:rPr>
        <w:t>LaSource</w:t>
      </w:r>
      <w:proofErr w:type="spellEnd"/>
      <w:r w:rsidRPr="00405A8C">
        <w:rPr>
          <w:rFonts w:eastAsia="Times New Roman"/>
          <w:sz w:val="20"/>
          <w:szCs w:val="20"/>
        </w:rPr>
        <w:t xml:space="preserve"> SAS governing gold mining prospecting licenses in French Guiana; a potential Japanese bidder on its bid for interests in the major coal mining subsidiaries of PT </w:t>
      </w:r>
      <w:proofErr w:type="spellStart"/>
      <w:r w:rsidRPr="00405A8C">
        <w:rPr>
          <w:rFonts w:eastAsia="Times New Roman"/>
          <w:sz w:val="20"/>
          <w:szCs w:val="20"/>
        </w:rPr>
        <w:t>Bumi</w:t>
      </w:r>
      <w:proofErr w:type="spellEnd"/>
      <w:r w:rsidRPr="00405A8C">
        <w:rPr>
          <w:rFonts w:eastAsia="Times New Roman"/>
          <w:sz w:val="20"/>
          <w:szCs w:val="20"/>
        </w:rPr>
        <w:t xml:space="preserve"> Resources, including PT </w:t>
      </w:r>
      <w:proofErr w:type="spellStart"/>
      <w:r w:rsidRPr="00405A8C">
        <w:rPr>
          <w:rFonts w:eastAsia="Times New Roman"/>
          <w:sz w:val="20"/>
          <w:szCs w:val="20"/>
        </w:rPr>
        <w:t>Kaltim</w:t>
      </w:r>
      <w:proofErr w:type="spellEnd"/>
      <w:r w:rsidRPr="00405A8C">
        <w:rPr>
          <w:rFonts w:eastAsia="Times New Roman"/>
          <w:sz w:val="20"/>
          <w:szCs w:val="20"/>
        </w:rPr>
        <w:t xml:space="preserve"> Prima Coal and PT </w:t>
      </w:r>
      <w:proofErr w:type="spellStart"/>
      <w:r w:rsidRPr="00405A8C">
        <w:rPr>
          <w:rFonts w:eastAsia="Times New Roman"/>
          <w:sz w:val="20"/>
          <w:szCs w:val="20"/>
        </w:rPr>
        <w:t>Arutmin</w:t>
      </w:r>
      <w:proofErr w:type="spellEnd"/>
      <w:r w:rsidRPr="00405A8C">
        <w:rPr>
          <w:rFonts w:eastAsia="Times New Roman"/>
          <w:sz w:val="20"/>
          <w:szCs w:val="20"/>
        </w:rPr>
        <w:t xml:space="preserve"> Indonesia; and a consortium of Japanese companies on its potential participation in the </w:t>
      </w:r>
      <w:proofErr w:type="spellStart"/>
      <w:r w:rsidRPr="00405A8C">
        <w:rPr>
          <w:rFonts w:eastAsia="Times New Roman"/>
          <w:sz w:val="20"/>
          <w:szCs w:val="20"/>
        </w:rPr>
        <w:t>Tavan</w:t>
      </w:r>
      <w:proofErr w:type="spellEnd"/>
      <w:r w:rsidRPr="00405A8C">
        <w:rPr>
          <w:rFonts w:eastAsia="Times New Roman"/>
          <w:sz w:val="20"/>
          <w:szCs w:val="20"/>
        </w:rPr>
        <w:t xml:space="preserve"> </w:t>
      </w:r>
      <w:proofErr w:type="spellStart"/>
      <w:r w:rsidRPr="00405A8C">
        <w:rPr>
          <w:rFonts w:eastAsia="Times New Roman"/>
          <w:sz w:val="20"/>
          <w:szCs w:val="20"/>
        </w:rPr>
        <w:t>Tolgoi</w:t>
      </w:r>
      <w:proofErr w:type="spellEnd"/>
      <w:r w:rsidRPr="00405A8C">
        <w:rPr>
          <w:rFonts w:eastAsia="Times New Roman"/>
          <w:sz w:val="20"/>
          <w:szCs w:val="20"/>
        </w:rPr>
        <w:t xml:space="preserve"> coal project, Mongolia.</w:t>
      </w:r>
    </w:p>
    <w:p w:rsidR="00927458" w:rsidRPr="00AB3F9E" w:rsidRDefault="00927458" w:rsidP="00AB3F9E">
      <w:pPr>
        <w:shd w:val="clear" w:color="auto" w:fill="FFFFFF"/>
        <w:spacing w:line="360" w:lineRule="atLeast"/>
        <w:textAlignment w:val="baseline"/>
        <w:rPr>
          <w:rFonts w:ascii="inherit" w:eastAsia="Times New Roman" w:hAnsi="inherit"/>
          <w:color w:val="4D4F51"/>
          <w:sz w:val="24"/>
          <w:lang w:eastAsia="en-GB"/>
        </w:rPr>
      </w:pPr>
    </w:p>
    <w:p w:rsidR="002677AC" w:rsidRDefault="00D73B04"/>
    <w:sectPr w:rsidR="002677AC" w:rsidSect="006800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F5448"/>
    <w:multiLevelType w:val="multilevel"/>
    <w:tmpl w:val="3638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F75F8A"/>
    <w:multiLevelType w:val="multilevel"/>
    <w:tmpl w:val="E5B2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7AA2"/>
    <w:rsid w:val="0002193E"/>
    <w:rsid w:val="006800E1"/>
    <w:rsid w:val="00701AAA"/>
    <w:rsid w:val="00786847"/>
    <w:rsid w:val="00927458"/>
    <w:rsid w:val="00967AA2"/>
    <w:rsid w:val="00A27A5E"/>
    <w:rsid w:val="00A84662"/>
    <w:rsid w:val="00AB3F9E"/>
    <w:rsid w:val="00D22948"/>
    <w:rsid w:val="00D73B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E1"/>
  </w:style>
  <w:style w:type="paragraph" w:styleId="Heading1">
    <w:name w:val="heading 1"/>
    <w:basedOn w:val="Normal"/>
    <w:link w:val="Heading1Char"/>
    <w:uiPriority w:val="9"/>
    <w:qFormat/>
    <w:rsid w:val="00AB3F9E"/>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B3F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745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F9E"/>
    <w:rPr>
      <w:rFonts w:ascii="Times New Roman" w:eastAsia="Times New Roman" w:hAnsi="Times New Roman"/>
      <w:b/>
      <w:bCs/>
      <w:kern w:val="36"/>
      <w:sz w:val="48"/>
      <w:szCs w:val="48"/>
      <w:lang w:eastAsia="en-GB"/>
    </w:rPr>
  </w:style>
  <w:style w:type="character" w:customStyle="1" w:styleId="count">
    <w:name w:val="count"/>
    <w:basedOn w:val="DefaultParagraphFont"/>
    <w:rsid w:val="00AB3F9E"/>
  </w:style>
  <w:style w:type="character" w:customStyle="1" w:styleId="label">
    <w:name w:val="label"/>
    <w:basedOn w:val="DefaultParagraphFont"/>
    <w:rsid w:val="00AB3F9E"/>
  </w:style>
  <w:style w:type="character" w:styleId="Hyperlink">
    <w:name w:val="Hyperlink"/>
    <w:basedOn w:val="DefaultParagraphFont"/>
    <w:uiPriority w:val="99"/>
    <w:semiHidden/>
    <w:unhideWhenUsed/>
    <w:rsid w:val="00AB3F9E"/>
    <w:rPr>
      <w:color w:val="0000FF"/>
      <w:u w:val="single"/>
    </w:rPr>
  </w:style>
  <w:style w:type="paragraph" w:styleId="NormalWeb">
    <w:name w:val="Normal (Web)"/>
    <w:basedOn w:val="Normal"/>
    <w:uiPriority w:val="99"/>
    <w:semiHidden/>
    <w:unhideWhenUsed/>
    <w:rsid w:val="00AB3F9E"/>
    <w:pPr>
      <w:spacing w:before="100" w:beforeAutospacing="1" w:after="100" w:afterAutospacing="1"/>
    </w:pPr>
    <w:rPr>
      <w:rFonts w:ascii="Times New Roman" w:eastAsia="Times New Roman" w:hAnsi="Times New Roman"/>
      <w:sz w:val="24"/>
      <w:lang w:eastAsia="en-GB"/>
    </w:rPr>
  </w:style>
  <w:style w:type="character" w:styleId="Strong">
    <w:name w:val="Strong"/>
    <w:basedOn w:val="DefaultParagraphFont"/>
    <w:uiPriority w:val="22"/>
    <w:qFormat/>
    <w:rsid w:val="00AB3F9E"/>
    <w:rPr>
      <w:b/>
      <w:bCs/>
    </w:rPr>
  </w:style>
  <w:style w:type="character" w:customStyle="1" w:styleId="apple-converted-space">
    <w:name w:val="apple-converted-space"/>
    <w:basedOn w:val="DefaultParagraphFont"/>
    <w:rsid w:val="00AB3F9E"/>
  </w:style>
  <w:style w:type="character" w:styleId="Emphasis">
    <w:name w:val="Emphasis"/>
    <w:basedOn w:val="DefaultParagraphFont"/>
    <w:uiPriority w:val="20"/>
    <w:qFormat/>
    <w:rsid w:val="00AB3F9E"/>
    <w:rPr>
      <w:i/>
      <w:iCs/>
    </w:rPr>
  </w:style>
  <w:style w:type="character" w:customStyle="1" w:styleId="Heading2Char">
    <w:name w:val="Heading 2 Char"/>
    <w:basedOn w:val="DefaultParagraphFont"/>
    <w:link w:val="Heading2"/>
    <w:uiPriority w:val="9"/>
    <w:semiHidden/>
    <w:rsid w:val="00AB3F9E"/>
    <w:rPr>
      <w:rFonts w:asciiTheme="majorHAnsi" w:eastAsiaTheme="majorEastAsia" w:hAnsiTheme="majorHAnsi" w:cstheme="majorBidi"/>
      <w:b/>
      <w:bCs/>
      <w:color w:val="4F81BD" w:themeColor="accent1"/>
      <w:sz w:val="26"/>
      <w:szCs w:val="26"/>
    </w:rPr>
  </w:style>
  <w:style w:type="paragraph" w:customStyle="1" w:styleId="subtitle">
    <w:name w:val="subtitle"/>
    <w:basedOn w:val="Normal"/>
    <w:rsid w:val="00AB3F9E"/>
    <w:pPr>
      <w:spacing w:before="100" w:beforeAutospacing="1" w:after="100" w:afterAutospacing="1"/>
    </w:pPr>
    <w:rPr>
      <w:rFonts w:ascii="Times New Roman" w:eastAsia="Times New Roman" w:hAnsi="Times New Roman"/>
      <w:sz w:val="24"/>
      <w:lang w:eastAsia="en-GB"/>
    </w:rPr>
  </w:style>
  <w:style w:type="paragraph" w:styleId="BalloonText">
    <w:name w:val="Balloon Text"/>
    <w:basedOn w:val="Normal"/>
    <w:link w:val="BalloonTextChar"/>
    <w:uiPriority w:val="99"/>
    <w:semiHidden/>
    <w:unhideWhenUsed/>
    <w:rsid w:val="00AB3F9E"/>
    <w:rPr>
      <w:rFonts w:ascii="Tahoma" w:hAnsi="Tahoma" w:cs="Tahoma"/>
      <w:sz w:val="16"/>
      <w:szCs w:val="16"/>
    </w:rPr>
  </w:style>
  <w:style w:type="character" w:customStyle="1" w:styleId="BalloonTextChar">
    <w:name w:val="Balloon Text Char"/>
    <w:basedOn w:val="DefaultParagraphFont"/>
    <w:link w:val="BalloonText"/>
    <w:uiPriority w:val="99"/>
    <w:semiHidden/>
    <w:rsid w:val="00AB3F9E"/>
    <w:rPr>
      <w:rFonts w:ascii="Tahoma" w:hAnsi="Tahoma" w:cs="Tahoma"/>
      <w:sz w:val="16"/>
      <w:szCs w:val="16"/>
    </w:rPr>
  </w:style>
  <w:style w:type="paragraph" w:customStyle="1" w:styleId="ProfileEmail">
    <w:name w:val="Profile Email"/>
    <w:basedOn w:val="Normal"/>
    <w:link w:val="ProfileEmailChar"/>
    <w:rsid w:val="00927458"/>
    <w:rPr>
      <w:rFonts w:ascii="Arial" w:eastAsiaTheme="minorEastAsia" w:hAnsi="Arial" w:cs="Arial"/>
      <w:color w:val="4F81BD" w:themeColor="accent1"/>
      <w:sz w:val="18"/>
      <w:szCs w:val="18"/>
      <w:lang w:val="en-AU" w:eastAsia="en-AU"/>
    </w:rPr>
  </w:style>
  <w:style w:type="character" w:customStyle="1" w:styleId="ProfileEmailChar">
    <w:name w:val="Profile Email Char"/>
    <w:basedOn w:val="DefaultParagraphFont"/>
    <w:link w:val="ProfileEmail"/>
    <w:rsid w:val="00927458"/>
    <w:rPr>
      <w:rFonts w:ascii="Arial" w:eastAsiaTheme="minorEastAsia" w:hAnsi="Arial" w:cs="Arial"/>
      <w:color w:val="4F81BD" w:themeColor="accent1"/>
      <w:sz w:val="18"/>
      <w:szCs w:val="18"/>
      <w:lang w:val="en-AU" w:eastAsia="en-AU"/>
    </w:rPr>
  </w:style>
  <w:style w:type="paragraph" w:customStyle="1" w:styleId="PracticeGroupLocation">
    <w:name w:val="Practice Group Location"/>
    <w:basedOn w:val="Normal"/>
    <w:rsid w:val="00927458"/>
    <w:pPr>
      <w:spacing w:before="60" w:after="60"/>
    </w:pPr>
    <w:rPr>
      <w:rFonts w:ascii="Arial" w:eastAsiaTheme="minorEastAsia" w:hAnsi="Arial" w:cs="Arial"/>
      <w:b/>
      <w:color w:val="4F81BD" w:themeColor="accent1"/>
      <w:sz w:val="18"/>
      <w:szCs w:val="18"/>
      <w:lang w:val="en-AU" w:eastAsia="en-AU"/>
    </w:rPr>
  </w:style>
  <w:style w:type="paragraph" w:customStyle="1" w:styleId="ProfileHeading">
    <w:name w:val="Profile Heading"/>
    <w:basedOn w:val="Heading3"/>
    <w:next w:val="Normal"/>
    <w:qFormat/>
    <w:rsid w:val="00927458"/>
    <w:pPr>
      <w:keepLines w:val="0"/>
      <w:spacing w:before="240" w:line="288" w:lineRule="auto"/>
      <w:contextualSpacing/>
    </w:pPr>
    <w:rPr>
      <w:rFonts w:ascii="Arial Bold" w:eastAsiaTheme="minorEastAsia" w:hAnsi="Arial Bold" w:cs="Arial"/>
      <w:sz w:val="20"/>
      <w:szCs w:val="18"/>
      <w:lang w:val="en-AU" w:eastAsia="en-AU"/>
    </w:rPr>
  </w:style>
  <w:style w:type="paragraph" w:customStyle="1" w:styleId="ProfileName">
    <w:name w:val="Profile Name"/>
    <w:basedOn w:val="Normal"/>
    <w:link w:val="ProfileNameCharChar"/>
    <w:rsid w:val="00927458"/>
    <w:pPr>
      <w:spacing w:before="120"/>
    </w:pPr>
    <w:rPr>
      <w:rFonts w:ascii="Arial" w:eastAsiaTheme="minorEastAsia" w:hAnsi="Arial" w:cs="Arial"/>
      <w:b/>
      <w:color w:val="4F81BD" w:themeColor="accent1"/>
      <w:sz w:val="24"/>
      <w:lang w:val="en-AU" w:eastAsia="en-AU"/>
    </w:rPr>
  </w:style>
  <w:style w:type="character" w:customStyle="1" w:styleId="ProfileNameCharChar">
    <w:name w:val="Profile Name Char Char"/>
    <w:basedOn w:val="DefaultParagraphFont"/>
    <w:link w:val="ProfileName"/>
    <w:rsid w:val="00927458"/>
    <w:rPr>
      <w:rFonts w:ascii="Arial" w:eastAsiaTheme="minorEastAsia" w:hAnsi="Arial" w:cs="Arial"/>
      <w:b/>
      <w:color w:val="4F81BD" w:themeColor="accent1"/>
      <w:sz w:val="24"/>
      <w:lang w:val="en-AU" w:eastAsia="en-AU"/>
    </w:rPr>
  </w:style>
  <w:style w:type="paragraph" w:customStyle="1" w:styleId="ProfileNumber">
    <w:name w:val="Profile Number"/>
    <w:basedOn w:val="Normal"/>
    <w:rsid w:val="00927458"/>
    <w:pPr>
      <w:spacing w:after="20"/>
    </w:pPr>
    <w:rPr>
      <w:rFonts w:ascii="Arial" w:eastAsiaTheme="minorEastAsia" w:hAnsi="Arial" w:cs="Arial"/>
      <w:color w:val="4F81BD" w:themeColor="accent1"/>
      <w:sz w:val="18"/>
      <w:szCs w:val="18"/>
      <w:lang w:val="en-AU" w:eastAsia="en-AU"/>
    </w:rPr>
  </w:style>
  <w:style w:type="paragraph" w:customStyle="1" w:styleId="ProfilePosition">
    <w:name w:val="Profile Position"/>
    <w:basedOn w:val="Normal"/>
    <w:link w:val="ProfilePositionCharChar"/>
    <w:rsid w:val="00927458"/>
    <w:pPr>
      <w:spacing w:before="120" w:after="120"/>
    </w:pPr>
    <w:rPr>
      <w:rFonts w:ascii="Arial" w:eastAsiaTheme="minorEastAsia" w:hAnsi="Arial" w:cs="Arial"/>
      <w:color w:val="4F81BD" w:themeColor="accent1"/>
      <w:sz w:val="24"/>
      <w:lang w:val="en-AU" w:eastAsia="en-AU"/>
    </w:rPr>
  </w:style>
  <w:style w:type="character" w:customStyle="1" w:styleId="ProfilePositionCharChar">
    <w:name w:val="Profile Position Char Char"/>
    <w:basedOn w:val="DefaultParagraphFont"/>
    <w:link w:val="ProfilePosition"/>
    <w:rsid w:val="00927458"/>
    <w:rPr>
      <w:rFonts w:ascii="Arial" w:eastAsiaTheme="minorEastAsia" w:hAnsi="Arial" w:cs="Arial"/>
      <w:color w:val="4F81BD" w:themeColor="accent1"/>
      <w:sz w:val="24"/>
      <w:lang w:val="en-AU" w:eastAsia="en-AU"/>
    </w:rPr>
  </w:style>
  <w:style w:type="character" w:customStyle="1" w:styleId="Heading3Char">
    <w:name w:val="Heading 3 Char"/>
    <w:basedOn w:val="DefaultParagraphFont"/>
    <w:link w:val="Heading3"/>
    <w:uiPriority w:val="9"/>
    <w:semiHidden/>
    <w:rsid w:val="0092745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4229734">
      <w:bodyDiv w:val="1"/>
      <w:marLeft w:val="0"/>
      <w:marRight w:val="0"/>
      <w:marTop w:val="0"/>
      <w:marBottom w:val="0"/>
      <w:divBdr>
        <w:top w:val="none" w:sz="0" w:space="0" w:color="auto"/>
        <w:left w:val="none" w:sz="0" w:space="0" w:color="auto"/>
        <w:bottom w:val="none" w:sz="0" w:space="0" w:color="auto"/>
        <w:right w:val="none" w:sz="0" w:space="0" w:color="auto"/>
      </w:divBdr>
      <w:divsChild>
        <w:div w:id="484668309">
          <w:marLeft w:val="0"/>
          <w:marRight w:val="0"/>
          <w:marTop w:val="0"/>
          <w:marBottom w:val="0"/>
          <w:divBdr>
            <w:top w:val="none" w:sz="0" w:space="0" w:color="auto"/>
            <w:left w:val="none" w:sz="0" w:space="0" w:color="auto"/>
            <w:bottom w:val="none" w:sz="0" w:space="0" w:color="auto"/>
            <w:right w:val="none" w:sz="0" w:space="0" w:color="auto"/>
          </w:divBdr>
        </w:div>
        <w:div w:id="1332488228">
          <w:marLeft w:val="0"/>
          <w:marRight w:val="0"/>
          <w:marTop w:val="0"/>
          <w:marBottom w:val="0"/>
          <w:divBdr>
            <w:top w:val="none" w:sz="0" w:space="0" w:color="auto"/>
            <w:left w:val="none" w:sz="0" w:space="0" w:color="auto"/>
            <w:bottom w:val="none" w:sz="0" w:space="0" w:color="auto"/>
            <w:right w:val="none" w:sz="0" w:space="0" w:color="auto"/>
          </w:divBdr>
        </w:div>
      </w:divsChild>
    </w:div>
    <w:div w:id="1122460032">
      <w:bodyDiv w:val="1"/>
      <w:marLeft w:val="0"/>
      <w:marRight w:val="0"/>
      <w:marTop w:val="0"/>
      <w:marBottom w:val="0"/>
      <w:divBdr>
        <w:top w:val="none" w:sz="0" w:space="0" w:color="auto"/>
        <w:left w:val="none" w:sz="0" w:space="0" w:color="auto"/>
        <w:bottom w:val="none" w:sz="0" w:space="0" w:color="auto"/>
        <w:right w:val="none" w:sz="0" w:space="0" w:color="auto"/>
      </w:divBdr>
      <w:divsChild>
        <w:div w:id="706835723">
          <w:marLeft w:val="-750"/>
          <w:marRight w:val="-750"/>
          <w:marTop w:val="0"/>
          <w:marBottom w:val="0"/>
          <w:divBdr>
            <w:top w:val="none" w:sz="0" w:space="0" w:color="auto"/>
            <w:left w:val="none" w:sz="0" w:space="0" w:color="auto"/>
            <w:bottom w:val="none" w:sz="0" w:space="0" w:color="auto"/>
            <w:right w:val="none" w:sz="0" w:space="0" w:color="auto"/>
          </w:divBdr>
        </w:div>
        <w:div w:id="1585214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ulse/four-types-boards-johanne-bouchard?trk=mp-reader-card" TargetMode="External"/><Relationship Id="rId13" Type="http://schemas.openxmlformats.org/officeDocument/2006/relationships/hyperlink" Target="http://www.johannebouchard.com/2015/03/20/is-it-time-for-an-advisory-board/" TargetMode="External"/><Relationship Id="rId18" Type="http://schemas.openxmlformats.org/officeDocument/2006/relationships/hyperlink" Target="http://www.johannebouchard.com/2015/03/18/non-profit-boards-growing-pains-board-composition/" TargetMode="External"/><Relationship Id="rId26" Type="http://schemas.openxmlformats.org/officeDocument/2006/relationships/hyperlink" Target="https://www.amazon.com/author/www.eboardguru.com" TargetMode="External"/><Relationship Id="rId3" Type="http://schemas.openxmlformats.org/officeDocument/2006/relationships/settings" Target="settings.xml"/><Relationship Id="rId21" Type="http://schemas.openxmlformats.org/officeDocument/2006/relationships/hyperlink" Target="http://en.wikipedia.org/wiki/Sarbanes%E2%80%93Oxley_Act" TargetMode="External"/><Relationship Id="rId7" Type="http://schemas.openxmlformats.org/officeDocument/2006/relationships/hyperlink" Target="https://www.linkedin.com/in/johannebouchard?trk=pulse-det-athr_prof-art_hdr" TargetMode="External"/><Relationship Id="rId12" Type="http://schemas.openxmlformats.org/officeDocument/2006/relationships/hyperlink" Target="https://twitter.com/intent/tweet?&amp;url=https%3A%2F%2Fwww.linkedin.com%2Fpulse%2Ffour-types-boards-johanne-bouchard&amp;text=%22The%20Four%20Types%20of%20Boards%22%20by%20%40johanneharmonie%20on%20%40LinkedIn" TargetMode="External"/><Relationship Id="rId17" Type="http://schemas.openxmlformats.org/officeDocument/2006/relationships/hyperlink" Target="http://www.johannebouchard.com/2015/03/20/is-it-time-for-an-advisory-board/" TargetMode="External"/><Relationship Id="rId25" Type="http://schemas.openxmlformats.org/officeDocument/2006/relationships/hyperlink" Target="http://www.cobizmag.com/author/tracy-houston" TargetMode="External"/><Relationship Id="rId2" Type="http://schemas.openxmlformats.org/officeDocument/2006/relationships/styles" Target="styles.xml"/><Relationship Id="rId16" Type="http://schemas.openxmlformats.org/officeDocument/2006/relationships/hyperlink" Target="http://www.johannebouchard.com/board-composition-ebook/" TargetMode="External"/><Relationship Id="rId20" Type="http://schemas.openxmlformats.org/officeDocument/2006/relationships/hyperlink" Target="http://www.johannebouchard.com/board-composition-ebook/" TargetMode="External"/><Relationship Id="rId29" Type="http://schemas.openxmlformats.org/officeDocument/2006/relationships/hyperlink" Target="http://hsnet/Business%20services/Business%20development/Documents/CVandPitch_Guidelines%20for%20placing%20portrait%20photography%20in%20documents.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lus.google.com/u/0/share?url=https%3A%2F%2Fwww.linkedin.com%2Fpulse%2Ffour-types-boards-johanne-bouchard" TargetMode="Externa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hyperlink" Target="https://www.linkedin.com/in/johannebouchard?trk=pulse-det-athr_prof-art_hdr" TargetMode="External"/><Relationship Id="rId15" Type="http://schemas.openxmlformats.org/officeDocument/2006/relationships/hyperlink" Target="http://www.johannebouchard.com/2015/04/27/private-boards-start-ups-bringing-outside-help-to-inside-problems/" TargetMode="External"/><Relationship Id="rId23" Type="http://schemas.openxmlformats.org/officeDocument/2006/relationships/image" Target="media/image2.jpeg"/><Relationship Id="rId28" Type="http://schemas.openxmlformats.org/officeDocument/2006/relationships/image" Target="media/image4.jpeg"/><Relationship Id="rId10" Type="http://schemas.openxmlformats.org/officeDocument/2006/relationships/hyperlink" Target="https://www.facebook.com/sharer/sharer.php?u=https%3A%2F%2Fwww.linkedin.com%2Fpulse%2Ffour-types-boards-johanne-bouchard&amp;t=The%20Four%20Types%20of%20Boards" TargetMode="External"/><Relationship Id="rId19" Type="http://schemas.openxmlformats.org/officeDocument/2006/relationships/hyperlink" Target="http://www.johannebouchard.com/2015/04/27/private-boards-start-ups-bringing-outside-help-to-inside-problem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shareArticle?url=https%3A%2F%2Fwww.linkedin.com%2Fpulse%2Ffour-types-boards-johanne-bouchard" TargetMode="External"/><Relationship Id="rId14" Type="http://schemas.openxmlformats.org/officeDocument/2006/relationships/hyperlink" Target="http://www.johannebouchard.com/2015/03/18/non-profit-boards-growing-pains-board-composition/" TargetMode="External"/><Relationship Id="rId22" Type="http://schemas.openxmlformats.org/officeDocument/2006/relationships/hyperlink" Target="http://www.johannebouchard.com/board-composition-ebook/" TargetMode="External"/><Relationship Id="rId27" Type="http://schemas.openxmlformats.org/officeDocument/2006/relationships/hyperlink" Target="http://www.amazon.com/Becoming-Public-Company-Director-Handbook-ebook/dp/B0081KAIFS" TargetMode="External"/><Relationship Id="rId3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barbaradischinger</dc:creator>
  <cp:lastModifiedBy>barbaradischinger</cp:lastModifiedBy>
  <cp:revision>1</cp:revision>
  <dcterms:created xsi:type="dcterms:W3CDTF">2015-05-03T20:42:00Z</dcterms:created>
  <dcterms:modified xsi:type="dcterms:W3CDTF">2015-05-14T00:16:00Z</dcterms:modified>
</cp:coreProperties>
</file>